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7B" w:rsidRPr="00887C1A" w:rsidRDefault="006D6E04" w:rsidP="00887C1A">
      <w:pPr>
        <w:pStyle w:val="00Chaptitre"/>
        <w:spacing w:after="120"/>
        <w:ind w:left="141" w:hanging="425"/>
        <w:rPr>
          <w:color w:val="FF0000"/>
          <w:sz w:val="32"/>
          <w:szCs w:val="32"/>
        </w:rPr>
      </w:pPr>
      <w:r w:rsidRPr="00887C1A">
        <w:rPr>
          <w:rStyle w:val="02Chapnum"/>
          <w:color w:val="FF0000"/>
          <w:sz w:val="32"/>
          <w:szCs w:val="32"/>
        </w:rPr>
        <w:t>Chap</w:t>
      </w:r>
      <w:r w:rsidR="004E5B0C" w:rsidRPr="00887C1A">
        <w:rPr>
          <w:rStyle w:val="02Chapnum"/>
          <w:color w:val="FF0000"/>
          <w:sz w:val="32"/>
          <w:szCs w:val="32"/>
        </w:rPr>
        <w:t>i</w:t>
      </w:r>
      <w:r w:rsidRPr="00887C1A">
        <w:rPr>
          <w:rStyle w:val="02Chapnum"/>
          <w:color w:val="FF0000"/>
          <w:sz w:val="32"/>
          <w:szCs w:val="32"/>
        </w:rPr>
        <w:t xml:space="preserve">tre </w:t>
      </w:r>
      <w:r w:rsidR="002C747B" w:rsidRPr="00887C1A">
        <w:rPr>
          <w:rStyle w:val="02Chapnum"/>
          <w:color w:val="FF0000"/>
          <w:sz w:val="32"/>
          <w:szCs w:val="32"/>
        </w:rPr>
        <w:t>10</w:t>
      </w:r>
      <w:r w:rsidRPr="00887C1A">
        <w:rPr>
          <w:rStyle w:val="02Chapnum"/>
          <w:color w:val="FF0000"/>
          <w:sz w:val="32"/>
          <w:szCs w:val="32"/>
        </w:rPr>
        <w:br/>
      </w:r>
      <w:r w:rsidR="002C747B" w:rsidRPr="00887C1A">
        <w:rPr>
          <w:color w:val="FF0000"/>
          <w:sz w:val="32"/>
          <w:szCs w:val="32"/>
        </w:rPr>
        <w:t>LA SITUATION FINANCIÈRE</w:t>
      </w:r>
      <w:r w:rsidR="00887C1A" w:rsidRPr="00887C1A">
        <w:rPr>
          <w:color w:val="FF0000"/>
          <w:sz w:val="32"/>
          <w:szCs w:val="32"/>
        </w:rPr>
        <w:t xml:space="preserve"> DES AGENTS </w:t>
      </w:r>
      <w:r w:rsidR="002C747B" w:rsidRPr="00887C1A">
        <w:rPr>
          <w:color w:val="FF0000"/>
          <w:sz w:val="32"/>
          <w:szCs w:val="32"/>
        </w:rPr>
        <w:t>ÉCONOMIQUES</w:t>
      </w:r>
    </w:p>
    <w:p w:rsidR="002C747B" w:rsidRPr="003D271E" w:rsidRDefault="002C747B" w:rsidP="002C747B">
      <w:pPr>
        <w:pStyle w:val="12TTextecourant"/>
      </w:pPr>
      <w:r w:rsidRPr="003D271E">
        <w:t xml:space="preserve">Le financement d’une économie moderne requiert des capitaux importants, et les différents agents économiques que sont les ménages, les entreprises et les </w:t>
      </w:r>
      <w:bookmarkStart w:id="0" w:name="_GoBack"/>
      <w:bookmarkEnd w:id="0"/>
      <w:r w:rsidRPr="003D271E">
        <w:t>administrations publiques ont des besoins de financement liés à leur activité. Le problème est de savoir comment mettre en relation ces deux catégories d’agents de manière efficiente tant au niveau national qu’international.</w:t>
      </w:r>
    </w:p>
    <w:p w:rsidR="002C747B" w:rsidRPr="003D271E" w:rsidRDefault="002C747B" w:rsidP="002C747B">
      <w:pPr>
        <w:pStyle w:val="07Titregras"/>
      </w:pPr>
      <w:r w:rsidRPr="003D271E">
        <w:t xml:space="preserve">I. Quels sont les capacités et </w:t>
      </w:r>
      <w:r w:rsidR="00D25CE4">
        <w:t xml:space="preserve">les </w:t>
      </w:r>
      <w:r w:rsidRPr="003D271E">
        <w:t>besoins de financement</w:t>
      </w:r>
      <w:r>
        <w:t> </w:t>
      </w:r>
      <w:r w:rsidRPr="003D271E">
        <w:t>?</w:t>
      </w:r>
    </w:p>
    <w:p w:rsidR="002C747B" w:rsidRPr="002C747B" w:rsidRDefault="002C747B" w:rsidP="002C747B">
      <w:pPr>
        <w:pStyle w:val="05ExerciceTitre"/>
      </w:pPr>
      <w:r w:rsidRPr="002C747B">
        <w:t>A. Capacités et besoins varient selon les agents économiques</w:t>
      </w:r>
    </w:p>
    <w:p w:rsidR="002C747B" w:rsidRPr="003D271E" w:rsidRDefault="002C747B" w:rsidP="002C747B">
      <w:pPr>
        <w:pStyle w:val="12TTextecourant"/>
      </w:pPr>
      <w:r w:rsidRPr="003D271E">
        <w:t>Les agents économiques ont des situations financières différentes en fonction de leur niveau de ressources et de d</w:t>
      </w:r>
      <w:r w:rsidRPr="003D271E">
        <w:t>é</w:t>
      </w:r>
      <w:r w:rsidRPr="003D271E">
        <w:t>penses.</w:t>
      </w:r>
    </w:p>
    <w:p w:rsidR="002C747B" w:rsidRPr="003D271E" w:rsidRDefault="002C747B" w:rsidP="002C747B">
      <w:pPr>
        <w:pStyle w:val="12TTextecourant"/>
      </w:pPr>
      <w:r w:rsidRPr="003D271E">
        <w:t>Les agents à capacité de financement possèdent des ressources qui sont supérieures à leurs dépenses. Ils pe</w:t>
      </w:r>
      <w:r w:rsidRPr="003D271E">
        <w:t>u</w:t>
      </w:r>
      <w:r w:rsidRPr="003D271E">
        <w:t>vent utiliser cette capacité pour épargner ou pour investir.</w:t>
      </w:r>
    </w:p>
    <w:p w:rsidR="002C747B" w:rsidRPr="003D271E" w:rsidRDefault="002C747B" w:rsidP="002C747B">
      <w:pPr>
        <w:pStyle w:val="12TTextecourant"/>
      </w:pPr>
      <w:r w:rsidRPr="003D271E">
        <w:t>À l’inverse, un agent économique dont les ressources sont inférieures à ses dépenses a un besoin de financ</w:t>
      </w:r>
      <w:r w:rsidRPr="003D271E">
        <w:t>e</w:t>
      </w:r>
      <w:r w:rsidRPr="003D271E">
        <w:t>ment qu’il pourra couvrir grâce à un emprunt.</w:t>
      </w:r>
    </w:p>
    <w:p w:rsidR="002C747B" w:rsidRPr="003D271E" w:rsidRDefault="002C747B" w:rsidP="002C747B">
      <w:pPr>
        <w:pStyle w:val="12TTextecourant"/>
      </w:pPr>
      <w:r w:rsidRPr="003D271E">
        <w:t>Au niveau microéconomique, les besoins ou excédents de financement peuvent varier au cours du temps. Ainsi, un jeune ménage qui investira dans l’achat d’un logement sera en besoin de financement puis, lorsqu’il sera plus âgé et aura remboursé ses emprunts, il pourra aider s</w:t>
      </w:r>
      <w:r w:rsidR="00D25CE4">
        <w:t>a famille</w:t>
      </w:r>
      <w:r w:rsidRPr="003D271E">
        <w:t xml:space="preserve"> avec son excédent. De même, une entreprise lors de sa cré</w:t>
      </w:r>
      <w:r w:rsidRPr="003D271E">
        <w:t>a</w:t>
      </w:r>
      <w:r w:rsidRPr="003D271E">
        <w:t>tion ou de sa croissance aura besoin de capitaux et de financement tandis qu’elle pourra avoir ponctuellement des e</w:t>
      </w:r>
      <w:r w:rsidRPr="003D271E">
        <w:t>x</w:t>
      </w:r>
      <w:r w:rsidRPr="003D271E">
        <w:t>cédents de trésorerie à placer par la suite.</w:t>
      </w:r>
    </w:p>
    <w:p w:rsidR="002C747B" w:rsidRPr="003D271E" w:rsidRDefault="002C747B" w:rsidP="002C747B">
      <w:pPr>
        <w:pStyle w:val="12TTextecourant"/>
      </w:pPr>
      <w:r w:rsidRPr="003D271E">
        <w:t>Au niveau macroéconomique, le financement de l’activité nécessite de mettre en relation les agents qui ont une c</w:t>
      </w:r>
      <w:r w:rsidRPr="003D271E">
        <w:t>a</w:t>
      </w:r>
      <w:r w:rsidRPr="003D271E">
        <w:t>pacité de financement et ceux qui ont un besoin de financement.</w:t>
      </w:r>
    </w:p>
    <w:p w:rsidR="002C747B" w:rsidRPr="002C747B" w:rsidRDefault="002C747B" w:rsidP="002C747B">
      <w:pPr>
        <w:pStyle w:val="05ExerciceTitre"/>
      </w:pPr>
      <w:r w:rsidRPr="002C747B">
        <w:t>B. La situation financière générale des agents économiques français</w:t>
      </w:r>
    </w:p>
    <w:p w:rsidR="002C747B" w:rsidRPr="003D271E" w:rsidRDefault="002C747B" w:rsidP="002C747B">
      <w:pPr>
        <w:pStyle w:val="12TTextecourant"/>
      </w:pPr>
      <w:r w:rsidRPr="003D271E">
        <w:t>D’un point de vue macroéconomique, ce sont principa</w:t>
      </w:r>
      <w:r w:rsidR="00D25CE4">
        <w:t>lement les ménages et les socié</w:t>
      </w:r>
      <w:r w:rsidRPr="003D271E">
        <w:t>tés financières qui dég</w:t>
      </w:r>
      <w:r w:rsidRPr="003D271E">
        <w:t>a</w:t>
      </w:r>
      <w:r w:rsidRPr="003D271E">
        <w:t xml:space="preserve">gent des capacités de financement. Tandis que les </w:t>
      </w:r>
      <w:r w:rsidR="00D25CE4">
        <w:t>socié</w:t>
      </w:r>
      <w:r w:rsidR="00D25CE4" w:rsidRPr="003D271E">
        <w:t xml:space="preserve">tés </w:t>
      </w:r>
      <w:r w:rsidRPr="003D271E">
        <w:t>non financières et les administrations publiques ont des b</w:t>
      </w:r>
      <w:r w:rsidRPr="003D271E">
        <w:t>e</w:t>
      </w:r>
      <w:r w:rsidRPr="003D271E">
        <w:t>soins de financement.</w:t>
      </w:r>
    </w:p>
    <w:p w:rsidR="002C747B" w:rsidRPr="003D271E" w:rsidRDefault="002C747B" w:rsidP="002C747B">
      <w:pPr>
        <w:pStyle w:val="15Puces"/>
      </w:pPr>
      <w:r w:rsidRPr="003D271E">
        <w:t>Les capacités de financement des ména</w:t>
      </w:r>
      <w:r>
        <w:t>ges et des sociétés financières</w:t>
      </w:r>
    </w:p>
    <w:p w:rsidR="002C747B" w:rsidRPr="003D271E" w:rsidRDefault="002C747B" w:rsidP="002C747B">
      <w:pPr>
        <w:pStyle w:val="12TTextecourant"/>
      </w:pPr>
      <w:r w:rsidRPr="003D271E">
        <w:t xml:space="preserve">Les ménages </w:t>
      </w:r>
      <w:r w:rsidR="00D25CE4">
        <w:t xml:space="preserve">français dégagent </w:t>
      </w:r>
      <w:r w:rsidRPr="003D271E">
        <w:t>traditionnellement une épargne</w:t>
      </w:r>
      <w:r w:rsidR="00D25CE4">
        <w:t xml:space="preserve">. </w:t>
      </w:r>
      <w:r w:rsidR="00D25CE4" w:rsidRPr="00063EA3">
        <w:rPr>
          <w:color w:val="auto"/>
        </w:rPr>
        <w:t>Cela s’explique notamment par la prise en charge de nombreux services par l’État (éducation, santé, justice…)</w:t>
      </w:r>
      <w:proofErr w:type="gramStart"/>
      <w:r w:rsidR="00D25CE4" w:rsidRPr="00063EA3">
        <w:rPr>
          <w:color w:val="auto"/>
        </w:rPr>
        <w:t>.</w:t>
      </w:r>
      <w:r w:rsidRPr="003D271E">
        <w:t>.</w:t>
      </w:r>
      <w:proofErr w:type="gramEnd"/>
    </w:p>
    <w:p w:rsidR="002C747B" w:rsidRPr="003D271E" w:rsidRDefault="002C747B" w:rsidP="002C747B">
      <w:pPr>
        <w:pStyle w:val="15Puces"/>
      </w:pPr>
      <w:r w:rsidRPr="003D271E">
        <w:t xml:space="preserve">Les besoins de financement des </w:t>
      </w:r>
      <w:r w:rsidR="00D25CE4">
        <w:t>sociétés</w:t>
      </w:r>
      <w:r w:rsidRPr="003D271E">
        <w:t xml:space="preserve"> non financières et de l’État</w:t>
      </w:r>
    </w:p>
    <w:p w:rsidR="002C747B" w:rsidRPr="003D271E" w:rsidRDefault="002C747B" w:rsidP="002C747B">
      <w:pPr>
        <w:pStyle w:val="12TTextecourant"/>
      </w:pPr>
      <w:r w:rsidRPr="003D271E">
        <w:t>--La croissance économique des Trente Glorieuses, selon l’expression de Jean Fourastié, a nécessité de forts investi</w:t>
      </w:r>
      <w:r w:rsidRPr="003D271E">
        <w:t>s</w:t>
      </w:r>
      <w:r w:rsidRPr="003D271E">
        <w:t>sements de la part des entreprises.</w:t>
      </w:r>
    </w:p>
    <w:p w:rsidR="002C747B" w:rsidRPr="003D271E" w:rsidRDefault="002C747B" w:rsidP="002C747B">
      <w:pPr>
        <w:pStyle w:val="12TTextecourant"/>
      </w:pPr>
      <w:r w:rsidRPr="003D271E">
        <w:t xml:space="preserve">--Le besoin de financement des administrations publiques correspond au déficit </w:t>
      </w:r>
      <w:r w:rsidR="00D25CE4">
        <w:t>public</w:t>
      </w:r>
      <w:r w:rsidRPr="003D271E">
        <w:t xml:space="preserve">. </w:t>
      </w:r>
      <w:r w:rsidR="00D25CE4">
        <w:t>Plusieurs</w:t>
      </w:r>
      <w:r w:rsidRPr="003D271E">
        <w:t xml:space="preserve"> phénomènes expl</w:t>
      </w:r>
      <w:r w:rsidRPr="003D271E">
        <w:t>i</w:t>
      </w:r>
      <w:r w:rsidRPr="003D271E">
        <w:t>quent ces besoins de financement depuis les années 1970</w:t>
      </w:r>
      <w:r>
        <w:t> </w:t>
      </w:r>
      <w:r w:rsidRPr="003D271E">
        <w:t>: l’inflation, les politiques économiques de</w:t>
      </w:r>
      <w:r w:rsidR="00D25CE4">
        <w:t xml:space="preserve"> relance, </w:t>
      </w:r>
      <w:r w:rsidRPr="003D271E">
        <w:t>la réce</w:t>
      </w:r>
      <w:r w:rsidRPr="003D271E">
        <w:t>s</w:t>
      </w:r>
      <w:r w:rsidRPr="003D271E">
        <w:t>sion</w:t>
      </w:r>
      <w:r w:rsidR="00D25CE4">
        <w:t>..</w:t>
      </w:r>
      <w:r w:rsidRPr="003D271E">
        <w:t>.</w:t>
      </w:r>
    </w:p>
    <w:p w:rsidR="002C747B" w:rsidRPr="003D271E" w:rsidRDefault="002C747B" w:rsidP="002C747B">
      <w:pPr>
        <w:pStyle w:val="07Titregras"/>
      </w:pPr>
      <w:r w:rsidRPr="003D271E">
        <w:t>II. Quelle peut être la situation financière d’un État</w:t>
      </w:r>
      <w:r>
        <w:t> </w:t>
      </w:r>
      <w:r w:rsidRPr="003D271E">
        <w:t>?</w:t>
      </w:r>
    </w:p>
    <w:p w:rsidR="002C747B" w:rsidRPr="002C747B" w:rsidRDefault="002C747B" w:rsidP="002C747B">
      <w:pPr>
        <w:pStyle w:val="05ExerciceTitre"/>
      </w:pPr>
      <w:r w:rsidRPr="002C747B">
        <w:t>A. Des pays excédentaires ou déficitaires</w:t>
      </w:r>
    </w:p>
    <w:p w:rsidR="002C747B" w:rsidRPr="003D271E" w:rsidRDefault="002C747B" w:rsidP="002C747B">
      <w:pPr>
        <w:pStyle w:val="12TTextecourant"/>
      </w:pPr>
      <w:r w:rsidRPr="003D271E">
        <w:t>Certains pays sont des pays excédentaires comme le Qatar ou l’Arabie saoudite.</w:t>
      </w:r>
      <w:r>
        <w:t xml:space="preserve"> </w:t>
      </w:r>
      <w:r w:rsidRPr="003D271E">
        <w:t>Le royaume saoudien, premier expo</w:t>
      </w:r>
      <w:r w:rsidRPr="003D271E">
        <w:t>r</w:t>
      </w:r>
      <w:r w:rsidRPr="003D271E">
        <w:t xml:space="preserve">tateur mondial de </w:t>
      </w:r>
      <w:r w:rsidR="00D25CE4">
        <w:t>pétrole</w:t>
      </w:r>
      <w:r w:rsidRPr="003D271E">
        <w:t>, a dégagé en 201</w:t>
      </w:r>
      <w:r w:rsidR="00D25CE4">
        <w:t>2</w:t>
      </w:r>
      <w:r w:rsidRPr="003D271E">
        <w:t xml:space="preserve"> un excédent budgétaire record de </w:t>
      </w:r>
      <w:r w:rsidR="00D25CE4">
        <w:t>102,9</w:t>
      </w:r>
      <w:r>
        <w:t> </w:t>
      </w:r>
      <w:r w:rsidRPr="003D271E">
        <w:t>milliards de dollars.</w:t>
      </w:r>
      <w:r w:rsidR="00D25CE4">
        <w:t xml:space="preserve"> </w:t>
      </w:r>
      <w:r w:rsidR="00D25CE4" w:rsidRPr="00063EA3">
        <w:rPr>
          <w:color w:val="auto"/>
        </w:rPr>
        <w:t>En Europe, l’Allemagne a dégagé un excédent budgétaire en 2012 de l’ordre de 4,09 milliards d’euros, représe</w:t>
      </w:r>
      <w:r w:rsidR="00D25CE4" w:rsidRPr="00063EA3">
        <w:rPr>
          <w:color w:val="auto"/>
        </w:rPr>
        <w:t>n</w:t>
      </w:r>
      <w:r w:rsidR="00D25CE4" w:rsidRPr="00063EA3">
        <w:rPr>
          <w:color w:val="auto"/>
        </w:rPr>
        <w:t>tant 0,2 % de son PIB.</w:t>
      </w:r>
    </w:p>
    <w:p w:rsidR="002C747B" w:rsidRPr="003D271E" w:rsidRDefault="002C747B" w:rsidP="002C747B">
      <w:pPr>
        <w:pStyle w:val="12TTextecourant"/>
      </w:pPr>
      <w:r w:rsidRPr="003D271E">
        <w:t>D’autres, plus nombreux, surtout depuis la crise de 2008, sont déficitaires et ont recours au marché financier mondial pour couvrir leur déficit budgétaire. Pour cela ils émettent des titres que les agents (et notamment les pays) à capac</w:t>
      </w:r>
      <w:r w:rsidRPr="003D271E">
        <w:t>i</w:t>
      </w:r>
      <w:r w:rsidRPr="003D271E">
        <w:t>té de financement peuvent acquérir.</w:t>
      </w:r>
    </w:p>
    <w:p w:rsidR="002C747B" w:rsidRPr="002C747B" w:rsidRDefault="002C747B" w:rsidP="002C747B">
      <w:pPr>
        <w:pStyle w:val="05ExerciceTitre"/>
      </w:pPr>
      <w:r w:rsidRPr="002C747B">
        <w:t>B. L’exemple d’un pays alternant besoin et capacité de financement</w:t>
      </w:r>
    </w:p>
    <w:p w:rsidR="002C747B" w:rsidRPr="003D271E" w:rsidRDefault="002C747B" w:rsidP="002C747B">
      <w:pPr>
        <w:pStyle w:val="12TTextecourant"/>
      </w:pPr>
      <w:r w:rsidRPr="003D271E">
        <w:t>Certains pays peuvent alterner besoin et capacité de financement au cours du temps en fonction de la conjon</w:t>
      </w:r>
      <w:r w:rsidRPr="003D271E">
        <w:t>c</w:t>
      </w:r>
      <w:r w:rsidRPr="003D271E">
        <w:t>ture. Ainsi, la Suède se trouve dans cette situation.</w:t>
      </w:r>
      <w:r w:rsidR="00D25CE4">
        <w:t xml:space="preserve"> </w:t>
      </w:r>
      <w:r w:rsidR="00D25CE4" w:rsidRPr="00063EA3">
        <w:rPr>
          <w:color w:val="auto"/>
        </w:rPr>
        <w:t>De 2010 à 2012, la Suède a accusé un excédent budgétaire représe</w:t>
      </w:r>
      <w:r w:rsidR="00D25CE4" w:rsidRPr="00063EA3">
        <w:rPr>
          <w:color w:val="auto"/>
        </w:rPr>
        <w:t>n</w:t>
      </w:r>
      <w:r w:rsidR="00D25CE4" w:rsidRPr="00063EA3">
        <w:rPr>
          <w:color w:val="auto"/>
        </w:rPr>
        <w:t>tant, par exemple, 1 % de son PIB en 2012. À l’inverse, pour 2014, il est prévu un déficit record de l’ordre de 1,9 % du PIB. Cette alternance permet à la Suède d’observer une dette publique correcte de l’ordre de 40,7 % du PIB en 2012. En comparaison, celle de la France représentait 92,7 % du PIB sur la même période.</w:t>
      </w:r>
    </w:p>
    <w:sectPr w:rsidR="002C747B" w:rsidRPr="003D271E" w:rsidSect="00887C1A">
      <w:footerReference w:type="even" r:id="rId9"/>
      <w:footerReference w:type="default" r:id="rId10"/>
      <w:pgSz w:w="11907" w:h="16839" w:code="9"/>
      <w:pgMar w:top="426" w:right="567"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A2" w:rsidRDefault="00260EA2" w:rsidP="004016EA">
      <w:r>
        <w:separator/>
      </w:r>
    </w:p>
  </w:endnote>
  <w:endnote w:type="continuationSeparator" w:id="0">
    <w:p w:rsidR="00260EA2" w:rsidRDefault="00260EA2"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DB2C57"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887C1A">
      <w:rPr>
        <w:rStyle w:val="Folio"/>
        <w:b/>
        <w:bCs/>
        <w:noProof/>
      </w:rPr>
      <w:t>2</w:t>
    </w:r>
    <w:r>
      <w:rPr>
        <w:rStyle w:val="Folio"/>
        <w:b/>
        <w:bCs/>
      </w:rPr>
      <w:fldChar w:fldCharType="end"/>
    </w:r>
    <w:r w:rsidR="003B7361">
      <w:rPr>
        <w:w w:val="100"/>
      </w:rPr>
      <w:tab/>
    </w:r>
    <w:r w:rsidR="00B67919">
      <w:rPr>
        <w:w w:val="100"/>
      </w:rPr>
      <w:t>Foucher</w:t>
    </w:r>
    <w:r w:rsidR="003B7361">
      <w:rPr>
        <w:w w:val="100"/>
      </w:rPr>
      <w:t xml:space="preserve"> </w:t>
    </w:r>
    <w:r w:rsidR="003B7361" w:rsidRPr="00B20B86">
      <w:rPr>
        <w:b w:val="0"/>
        <w:w w:val="100"/>
      </w:rPr>
      <w:t xml:space="preserve">– </w:t>
    </w:r>
    <w:r w:rsidR="00B67919">
      <w:rPr>
        <w:b w:val="0"/>
        <w:w w:val="100"/>
      </w:rPr>
      <w:t xml:space="preserve">Économie </w:t>
    </w:r>
    <w:r w:rsidR="007648C1">
      <w:rPr>
        <w:b w:val="0"/>
        <w:w w:val="100"/>
      </w:rPr>
      <w:t>1</w:t>
    </w:r>
    <w:r w:rsidR="007648C1" w:rsidRPr="007648C1">
      <w:rPr>
        <w:b w:val="0"/>
        <w:w w:val="100"/>
        <w:vertAlign w:val="superscript"/>
      </w:rPr>
      <w:t>r</w:t>
    </w:r>
    <w:r w:rsidR="00B67919" w:rsidRPr="007648C1">
      <w:rPr>
        <w:b w:val="0"/>
        <w:w w:val="100"/>
        <w:vertAlign w:val="superscript"/>
      </w:rPr>
      <w:t>e</w:t>
    </w:r>
    <w:r w:rsidR="00B67919">
      <w:rPr>
        <w:b w:val="0"/>
        <w:w w:val="100"/>
      </w:rPr>
      <w:t xml:space="preserve"> STMG – Collection « Prise directe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2C747B">
      <w:rPr>
        <w:rStyle w:val="Bold"/>
      </w:rPr>
      <w:t>10</w:t>
    </w:r>
    <w:r w:rsidR="0079290D">
      <w:t xml:space="preserve"> - </w:t>
    </w:r>
    <w:r w:rsidR="002C747B" w:rsidRPr="003D271E">
      <w:t>La situation financière des agents économiques</w:t>
    </w:r>
    <w:r>
      <w:tab/>
    </w:r>
    <w:r w:rsidR="00887C1A">
      <w:t>1 ECO STMG</w:t>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A2" w:rsidRDefault="00260EA2" w:rsidP="004016EA">
      <w:r>
        <w:separator/>
      </w:r>
    </w:p>
  </w:footnote>
  <w:footnote w:type="continuationSeparator" w:id="0">
    <w:p w:rsidR="00260EA2" w:rsidRDefault="00260EA2"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48"/>
    <w:multiLevelType w:val="hybridMultilevel"/>
    <w:tmpl w:val="F7AC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E01"/>
    <w:multiLevelType w:val="hybridMultilevel"/>
    <w:tmpl w:val="A6C676EA"/>
    <w:lvl w:ilvl="0" w:tplc="919C7ABE">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1"/>
  </w:num>
  <w:num w:numId="6">
    <w:abstractNumId w:val="4"/>
  </w:num>
  <w:num w:numId="7">
    <w:abstractNumId w:val="7"/>
  </w:num>
  <w:num w:numId="8">
    <w:abstractNumId w:val="3"/>
  </w:num>
  <w:num w:numId="9">
    <w:abstractNumId w:val="5"/>
  </w:num>
  <w:num w:numId="10">
    <w:abstractNumId w:val="12"/>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12820"/>
    <w:rsid w:val="000200B9"/>
    <w:rsid w:val="000217FA"/>
    <w:rsid w:val="00025DDD"/>
    <w:rsid w:val="00044CA1"/>
    <w:rsid w:val="00051CC9"/>
    <w:rsid w:val="00051F8D"/>
    <w:rsid w:val="00054C34"/>
    <w:rsid w:val="000564BE"/>
    <w:rsid w:val="00090D46"/>
    <w:rsid w:val="00094243"/>
    <w:rsid w:val="00094D42"/>
    <w:rsid w:val="0009677D"/>
    <w:rsid w:val="000A31BA"/>
    <w:rsid w:val="000A66E0"/>
    <w:rsid w:val="000B1231"/>
    <w:rsid w:val="000B6F6A"/>
    <w:rsid w:val="000C4EE1"/>
    <w:rsid w:val="000E2942"/>
    <w:rsid w:val="000E7795"/>
    <w:rsid w:val="000F7158"/>
    <w:rsid w:val="0010724C"/>
    <w:rsid w:val="00121B47"/>
    <w:rsid w:val="00122434"/>
    <w:rsid w:val="0012520F"/>
    <w:rsid w:val="001274E8"/>
    <w:rsid w:val="00134AB6"/>
    <w:rsid w:val="001363FC"/>
    <w:rsid w:val="00136EBB"/>
    <w:rsid w:val="00142A66"/>
    <w:rsid w:val="00147786"/>
    <w:rsid w:val="00147C67"/>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13B2"/>
    <w:rsid w:val="001F49BC"/>
    <w:rsid w:val="001F4EF9"/>
    <w:rsid w:val="00207317"/>
    <w:rsid w:val="00220E9D"/>
    <w:rsid w:val="0023016D"/>
    <w:rsid w:val="0024646B"/>
    <w:rsid w:val="00260EA2"/>
    <w:rsid w:val="00283010"/>
    <w:rsid w:val="00287648"/>
    <w:rsid w:val="002A41D9"/>
    <w:rsid w:val="002B0009"/>
    <w:rsid w:val="002B3D1D"/>
    <w:rsid w:val="002B45C5"/>
    <w:rsid w:val="002C747B"/>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0C3C"/>
    <w:rsid w:val="00456C48"/>
    <w:rsid w:val="00483D07"/>
    <w:rsid w:val="004948AE"/>
    <w:rsid w:val="004A1FB0"/>
    <w:rsid w:val="004C0590"/>
    <w:rsid w:val="004C3AD2"/>
    <w:rsid w:val="004D4A33"/>
    <w:rsid w:val="004E20A9"/>
    <w:rsid w:val="004E2AD9"/>
    <w:rsid w:val="004E37FF"/>
    <w:rsid w:val="004E5B0C"/>
    <w:rsid w:val="00511BEC"/>
    <w:rsid w:val="00512FC8"/>
    <w:rsid w:val="00513C94"/>
    <w:rsid w:val="00517C52"/>
    <w:rsid w:val="00526A8E"/>
    <w:rsid w:val="00526F16"/>
    <w:rsid w:val="00550E0B"/>
    <w:rsid w:val="0055298B"/>
    <w:rsid w:val="00556F3D"/>
    <w:rsid w:val="00571C4F"/>
    <w:rsid w:val="005725BA"/>
    <w:rsid w:val="00583180"/>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D6E04"/>
    <w:rsid w:val="006E1F06"/>
    <w:rsid w:val="006E66EF"/>
    <w:rsid w:val="006E69A8"/>
    <w:rsid w:val="006E7921"/>
    <w:rsid w:val="006F4B95"/>
    <w:rsid w:val="006F6027"/>
    <w:rsid w:val="00702AF7"/>
    <w:rsid w:val="00705651"/>
    <w:rsid w:val="0071669E"/>
    <w:rsid w:val="00722537"/>
    <w:rsid w:val="007253D4"/>
    <w:rsid w:val="00731F1F"/>
    <w:rsid w:val="0073390B"/>
    <w:rsid w:val="00740821"/>
    <w:rsid w:val="007566A0"/>
    <w:rsid w:val="00757BA2"/>
    <w:rsid w:val="007648C1"/>
    <w:rsid w:val="007763D4"/>
    <w:rsid w:val="007857B7"/>
    <w:rsid w:val="0079080C"/>
    <w:rsid w:val="0079290D"/>
    <w:rsid w:val="0079459E"/>
    <w:rsid w:val="007A1C0E"/>
    <w:rsid w:val="007A44E4"/>
    <w:rsid w:val="007B2437"/>
    <w:rsid w:val="007D1C00"/>
    <w:rsid w:val="007F04AD"/>
    <w:rsid w:val="00806FB8"/>
    <w:rsid w:val="00810809"/>
    <w:rsid w:val="0081326E"/>
    <w:rsid w:val="00813705"/>
    <w:rsid w:val="00817C03"/>
    <w:rsid w:val="00820FF6"/>
    <w:rsid w:val="008269F4"/>
    <w:rsid w:val="00832FF6"/>
    <w:rsid w:val="00837F81"/>
    <w:rsid w:val="0085156E"/>
    <w:rsid w:val="00854C5F"/>
    <w:rsid w:val="008554DD"/>
    <w:rsid w:val="008847B7"/>
    <w:rsid w:val="00887C1A"/>
    <w:rsid w:val="00891689"/>
    <w:rsid w:val="008A262C"/>
    <w:rsid w:val="008B5073"/>
    <w:rsid w:val="008C31A7"/>
    <w:rsid w:val="008C43EE"/>
    <w:rsid w:val="008C44A7"/>
    <w:rsid w:val="008E764D"/>
    <w:rsid w:val="008F2936"/>
    <w:rsid w:val="008F7A0A"/>
    <w:rsid w:val="008F7E1A"/>
    <w:rsid w:val="0090770F"/>
    <w:rsid w:val="009215F2"/>
    <w:rsid w:val="00922992"/>
    <w:rsid w:val="00944446"/>
    <w:rsid w:val="009449C6"/>
    <w:rsid w:val="0094565C"/>
    <w:rsid w:val="00947570"/>
    <w:rsid w:val="00961BD5"/>
    <w:rsid w:val="009700DE"/>
    <w:rsid w:val="00970746"/>
    <w:rsid w:val="00982FEB"/>
    <w:rsid w:val="00995278"/>
    <w:rsid w:val="00995B4F"/>
    <w:rsid w:val="00996BCE"/>
    <w:rsid w:val="009A35F8"/>
    <w:rsid w:val="009A70E1"/>
    <w:rsid w:val="009C3943"/>
    <w:rsid w:val="009C47A7"/>
    <w:rsid w:val="009C68CF"/>
    <w:rsid w:val="009C7BAC"/>
    <w:rsid w:val="009D5808"/>
    <w:rsid w:val="009E10AD"/>
    <w:rsid w:val="009F0A91"/>
    <w:rsid w:val="00A142EC"/>
    <w:rsid w:val="00A16FCE"/>
    <w:rsid w:val="00A56DD3"/>
    <w:rsid w:val="00A719CA"/>
    <w:rsid w:val="00A754A8"/>
    <w:rsid w:val="00AA350B"/>
    <w:rsid w:val="00AA7D31"/>
    <w:rsid w:val="00AB26E5"/>
    <w:rsid w:val="00AB64AB"/>
    <w:rsid w:val="00AC281C"/>
    <w:rsid w:val="00AD20F8"/>
    <w:rsid w:val="00AD6532"/>
    <w:rsid w:val="00AE66BC"/>
    <w:rsid w:val="00AF7015"/>
    <w:rsid w:val="00AF7BC2"/>
    <w:rsid w:val="00B05F5E"/>
    <w:rsid w:val="00B16670"/>
    <w:rsid w:val="00B20B86"/>
    <w:rsid w:val="00B2761C"/>
    <w:rsid w:val="00B32431"/>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463E"/>
    <w:rsid w:val="00CA6505"/>
    <w:rsid w:val="00CD5F8A"/>
    <w:rsid w:val="00CD796B"/>
    <w:rsid w:val="00CE066D"/>
    <w:rsid w:val="00CE75DF"/>
    <w:rsid w:val="00CF04A9"/>
    <w:rsid w:val="00CF17D4"/>
    <w:rsid w:val="00CF22F3"/>
    <w:rsid w:val="00D0193B"/>
    <w:rsid w:val="00D05F73"/>
    <w:rsid w:val="00D1160A"/>
    <w:rsid w:val="00D1221B"/>
    <w:rsid w:val="00D2001F"/>
    <w:rsid w:val="00D223E7"/>
    <w:rsid w:val="00D25710"/>
    <w:rsid w:val="00D25CE4"/>
    <w:rsid w:val="00D335A2"/>
    <w:rsid w:val="00D4203A"/>
    <w:rsid w:val="00D67B34"/>
    <w:rsid w:val="00D70107"/>
    <w:rsid w:val="00D8181D"/>
    <w:rsid w:val="00D85ED9"/>
    <w:rsid w:val="00D92B0D"/>
    <w:rsid w:val="00DB1783"/>
    <w:rsid w:val="00DB2361"/>
    <w:rsid w:val="00DB2C57"/>
    <w:rsid w:val="00DC3E15"/>
    <w:rsid w:val="00DE478A"/>
    <w:rsid w:val="00DE50E9"/>
    <w:rsid w:val="00DF38B1"/>
    <w:rsid w:val="00DF7946"/>
    <w:rsid w:val="00E0366E"/>
    <w:rsid w:val="00E11D19"/>
    <w:rsid w:val="00E17B1A"/>
    <w:rsid w:val="00E24B04"/>
    <w:rsid w:val="00E63D85"/>
    <w:rsid w:val="00E67E2E"/>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0C4EE1"/>
    <w:pPr>
      <w:numPr>
        <w:numId w:val="8"/>
      </w:numPr>
      <w:ind w:left="426" w:hanging="426"/>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0C4EE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5ECA-79FC-4326-A146-ED14D68F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8</TotalTime>
  <Pages>1</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2013-09-03T14:46:00Z</dcterms:created>
  <dcterms:modified xsi:type="dcterms:W3CDTF">2016-07-03T15:01:00Z</dcterms:modified>
</cp:coreProperties>
</file>