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A5" w:rsidRPr="002C11CD" w:rsidRDefault="00481F96" w:rsidP="00481F96">
      <w:pPr>
        <w:pStyle w:val="00Chaptitre"/>
        <w:rPr>
          <w:b/>
          <w:color w:val="FF0000"/>
          <w:sz w:val="40"/>
          <w:szCs w:val="40"/>
        </w:rPr>
      </w:pPr>
      <w:r w:rsidRPr="002C11CD">
        <w:rPr>
          <w:rStyle w:val="02Chapnum"/>
          <w:b w:val="0"/>
          <w:color w:val="FF0000"/>
          <w:sz w:val="40"/>
          <w:szCs w:val="40"/>
        </w:rPr>
        <w:t>C</w:t>
      </w:r>
      <w:r w:rsidR="00B16B21" w:rsidRPr="002C11CD">
        <w:rPr>
          <w:rStyle w:val="02Chapnum"/>
          <w:b w:val="0"/>
          <w:color w:val="FF0000"/>
          <w:sz w:val="40"/>
          <w:szCs w:val="40"/>
        </w:rPr>
        <w:t>hapitre</w:t>
      </w:r>
      <w:r w:rsidRPr="002C11CD">
        <w:rPr>
          <w:rStyle w:val="02Chapnum"/>
          <w:b w:val="0"/>
          <w:color w:val="FF0000"/>
          <w:sz w:val="40"/>
          <w:szCs w:val="40"/>
        </w:rPr>
        <w:t xml:space="preserve"> 6</w:t>
      </w:r>
      <w:r w:rsidRPr="002C11CD">
        <w:rPr>
          <w:rStyle w:val="02Chapnum"/>
          <w:b w:val="0"/>
          <w:color w:val="FF0000"/>
          <w:sz w:val="40"/>
          <w:szCs w:val="40"/>
        </w:rPr>
        <w:br/>
      </w:r>
      <w:r w:rsidR="009D15A5" w:rsidRPr="002C11CD">
        <w:rPr>
          <w:b/>
          <w:color w:val="FF0000"/>
          <w:sz w:val="40"/>
          <w:szCs w:val="40"/>
        </w:rPr>
        <w:t>LA MESURE DE LA PRODUCTION</w:t>
      </w:r>
      <w:r w:rsidRPr="002C11CD">
        <w:rPr>
          <w:b/>
          <w:color w:val="FF0000"/>
          <w:sz w:val="40"/>
          <w:szCs w:val="40"/>
        </w:rPr>
        <w:br/>
      </w:r>
      <w:r w:rsidR="009D15A5" w:rsidRPr="002C11CD">
        <w:rPr>
          <w:b/>
          <w:color w:val="FF0000"/>
          <w:sz w:val="40"/>
          <w:szCs w:val="40"/>
        </w:rPr>
        <w:t>ET SES LIMITES</w:t>
      </w:r>
    </w:p>
    <w:p w:rsidR="009D15A5" w:rsidRPr="008B5BDD" w:rsidRDefault="009D15A5" w:rsidP="009D15A5">
      <w:pPr>
        <w:pStyle w:val="07Titregras"/>
      </w:pPr>
      <w:r w:rsidRPr="008B5BDD">
        <w:t>I. Comm</w:t>
      </w:r>
      <w:r>
        <w:t>ent mesurer la richesse créée ?</w:t>
      </w:r>
    </w:p>
    <w:p w:rsidR="009D15A5" w:rsidRPr="00E0366E" w:rsidRDefault="009D15A5" w:rsidP="009D15A5">
      <w:pPr>
        <w:pStyle w:val="05MissionTitre"/>
      </w:pPr>
      <w:r w:rsidRPr="00E0366E">
        <w:t>A. Par la valeur ajoutée (VA) au niveau d’une entreprise</w:t>
      </w:r>
    </w:p>
    <w:p w:rsidR="009D15A5" w:rsidRPr="008B5BDD" w:rsidRDefault="009D15A5" w:rsidP="009D15A5">
      <w:pPr>
        <w:pStyle w:val="12TTextecourant"/>
      </w:pPr>
      <w:r w:rsidRPr="008B5BDD">
        <w:t>La valeur ajoutée d’une (ou par une) entreprise se définit comme la richesse qu’elle crée. C’est finalement la combinaison productive qui est à l’origine de cette création de richesse</w:t>
      </w:r>
      <w:r>
        <w:t> </w:t>
      </w:r>
      <w:r w:rsidRPr="008B5BDD">
        <w:t>:</w:t>
      </w:r>
    </w:p>
    <w:p w:rsidR="009D15A5" w:rsidRDefault="009D15A5" w:rsidP="009D15A5">
      <w:pPr>
        <w:pStyle w:val="12TTextecourant"/>
        <w:jc w:val="center"/>
      </w:pPr>
      <w:r>
        <w:rPr>
          <w:noProof/>
        </w:rPr>
        <w:drawing>
          <wp:inline distT="0" distB="0" distL="0" distR="0">
            <wp:extent cx="4089400" cy="7620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89400" cy="762000"/>
                    </a:xfrm>
                    <a:prstGeom prst="rect">
                      <a:avLst/>
                    </a:prstGeom>
                    <a:noFill/>
                    <a:ln w="9525">
                      <a:noFill/>
                      <a:miter lim="800000"/>
                      <a:headEnd/>
                      <a:tailEnd/>
                    </a:ln>
                  </pic:spPr>
                </pic:pic>
              </a:graphicData>
            </a:graphic>
          </wp:inline>
        </w:drawing>
      </w:r>
    </w:p>
    <w:p w:rsidR="009D15A5" w:rsidRPr="008B5BDD" w:rsidRDefault="009D15A5" w:rsidP="009D15A5">
      <w:pPr>
        <w:pStyle w:val="12TTextecourant"/>
      </w:pPr>
      <w:r w:rsidRPr="008B5BDD">
        <w:t xml:space="preserve">La valeur ajoutée (= CA – CI) ne doit pas être confondue avec le bénéfice. Seuls les achats de biens et de services auprès de fournisseurs sont déduits du chiffre d’affaires dans le calcul de la valeur ajoutée. À l’inverse, le bénéfice consiste à retrancher des ventes en valeur la totalité des charges supportées par l’entreprise (les achats de biens et de services, mais aussi la rémunération du personnel, les impôts…). </w:t>
      </w:r>
    </w:p>
    <w:p w:rsidR="009D15A5" w:rsidRPr="008B5BDD" w:rsidRDefault="009D15A5" w:rsidP="009D15A5">
      <w:pPr>
        <w:pStyle w:val="12TTextecourant"/>
      </w:pPr>
      <w:r w:rsidRPr="008B5BDD">
        <w:t>Il existe un indicateur intermédiaire entre la valeur ajo</w:t>
      </w:r>
      <w:r>
        <w:t>utée et le bénéfice. C’est l’ex</w:t>
      </w:r>
      <w:r w:rsidRPr="008B5BDD">
        <w:t>cédent brut d’exploitation (EBE), qui peut se définir comme le surplus dégagé par l’entreprise pour rétribuer le capital au sens large (c’est-à-dire rémunérer les capitaux propres ou empruntés, mais également accroître, renouveler ou moderniser le capital technique fixe).</w:t>
      </w:r>
    </w:p>
    <w:p w:rsidR="009D15A5" w:rsidRPr="00E0366E" w:rsidRDefault="009D15A5" w:rsidP="009D15A5">
      <w:pPr>
        <w:pStyle w:val="05MissionTitre"/>
      </w:pPr>
      <w:r w:rsidRPr="00E0366E">
        <w:t>B. Par le produit intérieur brut (PIB) au niveau d’un État</w:t>
      </w:r>
    </w:p>
    <w:p w:rsidR="009D15A5" w:rsidRPr="008B5BDD" w:rsidRDefault="009D15A5" w:rsidP="009D15A5">
      <w:pPr>
        <w:pStyle w:val="12TTextecourant"/>
      </w:pPr>
      <w:r w:rsidRPr="008B5BDD">
        <w:t>Le PIB mesure l’ensemble des richesses créées sur le territoire national pendant une année. Il existe trois façons de le calculer</w:t>
      </w:r>
      <w:r>
        <w:t> </w:t>
      </w:r>
      <w:r w:rsidRPr="008B5BDD">
        <w:t>: par la production, par les revenus et par la demande. Selon la première méthode, sachant que l’évaluation s’effectue aux prix de marché, on a</w:t>
      </w:r>
      <w:r>
        <w:t> </w:t>
      </w:r>
      <w:r w:rsidRPr="008B5BDD">
        <w:t>:</w:t>
      </w:r>
    </w:p>
    <w:p w:rsidR="009D15A5" w:rsidRDefault="009D15A5" w:rsidP="009D15A5">
      <w:pPr>
        <w:pStyle w:val="12TTextecourant"/>
        <w:jc w:val="center"/>
      </w:pPr>
      <w:r>
        <w:rPr>
          <w:noProof/>
        </w:rPr>
        <w:drawing>
          <wp:inline distT="0" distB="0" distL="0" distR="0">
            <wp:extent cx="2893483" cy="310068"/>
            <wp:effectExtent l="19050" t="0" r="2117"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17988" cy="312694"/>
                    </a:xfrm>
                    <a:prstGeom prst="rect">
                      <a:avLst/>
                    </a:prstGeom>
                    <a:noFill/>
                    <a:ln w="9525">
                      <a:noFill/>
                      <a:miter lim="800000"/>
                      <a:headEnd/>
                      <a:tailEnd/>
                    </a:ln>
                  </pic:spPr>
                </pic:pic>
              </a:graphicData>
            </a:graphic>
          </wp:inline>
        </w:drawing>
      </w:r>
    </w:p>
    <w:p w:rsidR="009D15A5" w:rsidRPr="008B5BDD" w:rsidRDefault="009D15A5" w:rsidP="009D15A5">
      <w:pPr>
        <w:pStyle w:val="12TTextecourant"/>
      </w:pPr>
      <w:r w:rsidRPr="008B5BDD">
        <w:t>La production renferme une composante non marchande, qui inclut</w:t>
      </w:r>
      <w:r>
        <w:t> </w:t>
      </w:r>
      <w:r w:rsidRPr="008B5BDD">
        <w:t>:</w:t>
      </w:r>
    </w:p>
    <w:p w:rsidR="009D15A5" w:rsidRPr="008B5BDD" w:rsidRDefault="009D15A5" w:rsidP="009D15A5">
      <w:pPr>
        <w:pStyle w:val="12TTextecourant"/>
      </w:pPr>
      <w:r w:rsidRPr="008B5BDD">
        <w:t>1) la production pour usage propre (biens produits par une unité institutionnelle pour sa propre consommation finale ou sa propre formation de capital fixe</w:t>
      </w:r>
      <w:r>
        <w:t> </w:t>
      </w:r>
      <w:r w:rsidRPr="008B5BDD">
        <w:t>; l’occupation d’un logement par les ménages qui en sont propriétaires en est un exemple)</w:t>
      </w:r>
      <w:r>
        <w:t> </w:t>
      </w:r>
      <w:r w:rsidRPr="008B5BDD">
        <w:t>;</w:t>
      </w:r>
    </w:p>
    <w:p w:rsidR="009D15A5" w:rsidRPr="008B5BDD" w:rsidRDefault="009D15A5" w:rsidP="009D15A5">
      <w:pPr>
        <w:pStyle w:val="12TTextecourant"/>
      </w:pPr>
      <w:r w:rsidRPr="008B5BDD">
        <w:t>2) l’autre production non marchande (production des</w:t>
      </w:r>
      <w:r>
        <w:t>tinée à d’autres unités institu</w:t>
      </w:r>
      <w:r w:rsidRPr="008B5BDD">
        <w:t>tionnelles, lorsqu’elle est livrée gratuitement ou à de</w:t>
      </w:r>
      <w:r>
        <w:t>s prix sans signification écono</w:t>
      </w:r>
      <w:r w:rsidRPr="008B5BDD">
        <w:t>mique.).</w:t>
      </w:r>
    </w:p>
    <w:p w:rsidR="009D15A5" w:rsidRPr="008B5BDD" w:rsidRDefault="009D15A5" w:rsidP="009D15A5">
      <w:pPr>
        <w:pStyle w:val="12TTextecourant"/>
      </w:pPr>
      <w:r w:rsidRPr="008B5BDD">
        <w:t>L’autre production non marchande est essentiellement le fait des administrations publiques. Elle est évaluée aux coûts de production, c’est-à-dire par la somme des consommations intermédiaires, de la rémunération des salariés, de la consommation</w:t>
      </w:r>
      <w:r>
        <w:t xml:space="preserve"> </w:t>
      </w:r>
      <w:r w:rsidRPr="008B5BDD">
        <w:t>de capital fixe et des impôts sur la production (s’il s’</w:t>
      </w:r>
      <w:r>
        <w:t>agit de calculer non pas la pro</w:t>
      </w:r>
      <w:r w:rsidRPr="008B5BDD">
        <w:t>duction, mais le PIB non marchand, les consommation</w:t>
      </w:r>
      <w:r>
        <w:t>s intermédiaires ne doivent évi</w:t>
      </w:r>
      <w:r w:rsidRPr="008B5BDD">
        <w:t>demment pas être prises en compte).</w:t>
      </w:r>
    </w:p>
    <w:p w:rsidR="009D15A5" w:rsidRPr="008B5BDD" w:rsidRDefault="009D15A5" w:rsidP="009D15A5">
      <w:pPr>
        <w:pStyle w:val="12TTextecourant"/>
      </w:pPr>
      <w:r w:rsidRPr="008B5BDD">
        <w:t>Le PIB est calculé en valeur (en euros courants) si les montants qu’il comporte sont obtenus en multipliant les quantités de l’année par les prix de l’année. Dans ce cas, une augmentation du PIB peut avoir pour origine une augmentation des prix.</w:t>
      </w:r>
    </w:p>
    <w:p w:rsidR="009D15A5" w:rsidRPr="008B5BDD" w:rsidRDefault="009D15A5" w:rsidP="009D15A5">
      <w:pPr>
        <w:pStyle w:val="12TTextecourant"/>
      </w:pPr>
      <w:r w:rsidRPr="008B5BDD">
        <w:t>Le PIB est calculé en volume (en euros constants) si les montants qu’il comporte sont obtenus en multipliant les quantités de l’année p</w:t>
      </w:r>
      <w:r>
        <w:t>ar les prix d’une année de réfé</w:t>
      </w:r>
      <w:r w:rsidRPr="008B5BDD">
        <w:t>rence (2005 à l’heure actuelle). L’évaluation en volum</w:t>
      </w:r>
      <w:r>
        <w:t>e permet de neutraliser l’infla</w:t>
      </w:r>
      <w:r w:rsidRPr="008B5BDD">
        <w:t>tion et donc d’obtenir la véritable création de richesse (en quantités).</w:t>
      </w:r>
    </w:p>
    <w:p w:rsidR="009D15A5" w:rsidRPr="008B5BDD" w:rsidRDefault="009D15A5" w:rsidP="009D15A5">
      <w:pPr>
        <w:pStyle w:val="07Titregras"/>
      </w:pPr>
      <w:r w:rsidRPr="008B5BDD">
        <w:lastRenderedPageBreak/>
        <w:t>II. Le PIB est-il un indicateur pertinent pour mesurer la dynamique économique d’un pays</w:t>
      </w:r>
      <w:r>
        <w:t> </w:t>
      </w:r>
      <w:r w:rsidRPr="008B5BDD">
        <w:t>?</w:t>
      </w:r>
    </w:p>
    <w:p w:rsidR="009D15A5" w:rsidRPr="00E0366E" w:rsidRDefault="009D15A5" w:rsidP="009D15A5">
      <w:pPr>
        <w:pStyle w:val="05MissionTitre"/>
      </w:pPr>
      <w:r w:rsidRPr="00E0366E">
        <w:t>A. Le taux de croissance du PIB est le principal critère utilisé…</w:t>
      </w:r>
    </w:p>
    <w:p w:rsidR="009D15A5" w:rsidRPr="008B5BDD" w:rsidRDefault="009D15A5" w:rsidP="009D15A5">
      <w:pPr>
        <w:pStyle w:val="12TTextecourant"/>
      </w:pPr>
      <w:r w:rsidRPr="008B5BDD">
        <w:t>Le PIB est à la base du calcul de la croissance économique, celle-ci étant définie comme le taux de variation du PIB d’une année sur l’autre</w:t>
      </w:r>
      <w:r>
        <w:t> </w:t>
      </w:r>
      <w:r w:rsidRPr="008B5BDD">
        <w:t>:</w:t>
      </w:r>
    </w:p>
    <w:p w:rsidR="009D15A5" w:rsidRDefault="009D15A5" w:rsidP="009D15A5">
      <w:pPr>
        <w:pStyle w:val="12TTextecourant"/>
        <w:jc w:val="center"/>
      </w:pPr>
      <w:r>
        <w:rPr>
          <w:noProof/>
        </w:rPr>
        <w:drawing>
          <wp:inline distT="0" distB="0" distL="0" distR="0">
            <wp:extent cx="2512484" cy="604797"/>
            <wp:effectExtent l="19050" t="0" r="2116"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07963" cy="603709"/>
                    </a:xfrm>
                    <a:prstGeom prst="rect">
                      <a:avLst/>
                    </a:prstGeom>
                    <a:noFill/>
                    <a:ln w="9525">
                      <a:noFill/>
                      <a:miter lim="800000"/>
                      <a:headEnd/>
                      <a:tailEnd/>
                    </a:ln>
                  </pic:spPr>
                </pic:pic>
              </a:graphicData>
            </a:graphic>
          </wp:inline>
        </w:drawing>
      </w:r>
    </w:p>
    <w:p w:rsidR="009D15A5" w:rsidRPr="008B5BDD" w:rsidRDefault="009D15A5" w:rsidP="009D15A5">
      <w:pPr>
        <w:pStyle w:val="12TTextecourant"/>
      </w:pPr>
      <w:r w:rsidRPr="008B5BDD">
        <w:t>La croissance permet de créer des emplois (croissance =</w:t>
      </w:r>
      <w:r>
        <w:t> </w:t>
      </w:r>
      <w:r w:rsidRPr="008B5BDD">
        <w:t>productivité +</w:t>
      </w:r>
      <w:r>
        <w:t> </w:t>
      </w:r>
      <w:r w:rsidRPr="008B5BDD">
        <w:t>emplois à court terme). De plus, elle augmente les recettes fiscales (à travers, par exemple, la TVA) et sociales (cotisations sociales supplémentaires). Enfin, elle permet de réduire les dépenses sociales (allocations chômage notamment). De manière plus générale, la croissance est le seul moyen d’améliorer la satisfaction des besoins.</w:t>
      </w:r>
    </w:p>
    <w:p w:rsidR="009D15A5" w:rsidRPr="008B5BDD" w:rsidRDefault="009D15A5" w:rsidP="009D15A5">
      <w:pPr>
        <w:pStyle w:val="12TTextecourant"/>
      </w:pPr>
      <w:r w:rsidRPr="008B5BDD">
        <w:t>À l’inverse, lorsque, sur une année, la croissance e</w:t>
      </w:r>
      <w:r>
        <w:t>st faible (ralentissement écono</w:t>
      </w:r>
      <w:r w:rsidRPr="008B5BDD">
        <w:t>mique) ou même négative (récession, cas de 2009), le chômage augmente et le déficit public se creuse. Si la situation perdure, c’est la crise.</w:t>
      </w:r>
    </w:p>
    <w:p w:rsidR="009D15A5" w:rsidRPr="008B5BDD" w:rsidRDefault="009D15A5" w:rsidP="009D15A5">
      <w:pPr>
        <w:pStyle w:val="12TTextecourant"/>
      </w:pPr>
      <w:r w:rsidRPr="008B5BDD">
        <w:t>Le PIB permet également de comparer les pays selon le critère de la performance économique. On calcule alors le PIB par tête</w:t>
      </w:r>
      <w:r>
        <w:t> </w:t>
      </w:r>
      <w:r w:rsidRPr="008B5BDD">
        <w:t>:</w:t>
      </w:r>
    </w:p>
    <w:p w:rsidR="009D15A5" w:rsidRDefault="009D15A5" w:rsidP="009D15A5">
      <w:pPr>
        <w:pStyle w:val="05MissionTitre"/>
        <w:jc w:val="center"/>
      </w:pPr>
      <w:r>
        <w:rPr>
          <w:rFonts w:ascii="GuidePedagoTimes" w:hAnsi="GuidePedagoTimes" w:cs="GuidePedagoTimes"/>
          <w:noProof/>
          <w:sz w:val="20"/>
          <w:szCs w:val="22"/>
        </w:rPr>
        <w:drawing>
          <wp:inline distT="0" distB="0" distL="0" distR="0">
            <wp:extent cx="5044017" cy="620909"/>
            <wp:effectExtent l="19050" t="0" r="4233"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056109" cy="622398"/>
                    </a:xfrm>
                    <a:prstGeom prst="rect">
                      <a:avLst/>
                    </a:prstGeom>
                    <a:noFill/>
                    <a:ln w="9525">
                      <a:noFill/>
                      <a:miter lim="800000"/>
                      <a:headEnd/>
                      <a:tailEnd/>
                    </a:ln>
                  </pic:spPr>
                </pic:pic>
              </a:graphicData>
            </a:graphic>
          </wp:inline>
        </w:drawing>
      </w:r>
    </w:p>
    <w:p w:rsidR="009D15A5" w:rsidRPr="00CA463E" w:rsidRDefault="009D15A5" w:rsidP="009D15A5">
      <w:pPr>
        <w:pStyle w:val="05MissionTitre"/>
      </w:pPr>
      <w:r w:rsidRPr="00E0366E">
        <w:t xml:space="preserve">B. </w:t>
      </w:r>
      <w:r w:rsidRPr="00CA463E">
        <w:t>… mais ce critère présente plusieurs défauts et limites</w:t>
      </w:r>
    </w:p>
    <w:p w:rsidR="009D15A5" w:rsidRPr="008B5BDD" w:rsidRDefault="009D15A5" w:rsidP="009D15A5">
      <w:pPr>
        <w:pStyle w:val="12TTextecourant"/>
      </w:pPr>
      <w:r w:rsidRPr="008B5BDD">
        <w:t>Le PIB est un indicateur imparfait. En particulier, il n’est pas un indicateur de bien-être car il est à la fois strictement économique et strictement monétaire</w:t>
      </w:r>
      <w:r>
        <w:t> </w:t>
      </w:r>
      <w:r w:rsidRPr="008B5BDD">
        <w:t>:</w:t>
      </w:r>
    </w:p>
    <w:p w:rsidR="009D15A5" w:rsidRPr="008B5BDD" w:rsidRDefault="009D15A5" w:rsidP="009D15A5">
      <w:pPr>
        <w:pStyle w:val="15Puces"/>
        <w:ind w:left="284" w:hanging="284"/>
      </w:pPr>
      <w:r w:rsidRPr="008B5BDD">
        <w:t>1</w:t>
      </w:r>
      <w:r w:rsidRPr="00E0366E">
        <w:rPr>
          <w:vertAlign w:val="superscript"/>
        </w:rPr>
        <w:t>re</w:t>
      </w:r>
      <w:r w:rsidRPr="008B5BDD">
        <w:t xml:space="preserve"> limite</w:t>
      </w:r>
      <w:r>
        <w:t> </w:t>
      </w:r>
      <w:r w:rsidRPr="008B5BDD">
        <w:t>: exclusion d’activités génératrices de bien-être, mais non prises en compte parce que «</w:t>
      </w:r>
      <w:r>
        <w:t> </w:t>
      </w:r>
      <w:r w:rsidRPr="008B5BDD">
        <w:t>gratuites</w:t>
      </w:r>
      <w:r>
        <w:t> </w:t>
      </w:r>
      <w:r w:rsidRPr="008B5BDD">
        <w:t>» (travail domestique, travail bénévole)</w:t>
      </w:r>
      <w:r>
        <w:t> </w:t>
      </w:r>
      <w:r w:rsidRPr="008B5BDD">
        <w:t>;</w:t>
      </w:r>
    </w:p>
    <w:p w:rsidR="009D15A5" w:rsidRPr="008B5BDD" w:rsidRDefault="009D15A5" w:rsidP="009D15A5">
      <w:pPr>
        <w:pStyle w:val="15Puces"/>
        <w:ind w:left="284" w:hanging="284"/>
      </w:pPr>
      <w:r w:rsidRPr="008B5BDD">
        <w:t>2</w:t>
      </w:r>
      <w:r w:rsidRPr="00E0366E">
        <w:rPr>
          <w:vertAlign w:val="superscript"/>
        </w:rPr>
        <w:t>e</w:t>
      </w:r>
      <w:r w:rsidRPr="008B5BDD">
        <w:t xml:space="preserve"> limite</w:t>
      </w:r>
      <w:r>
        <w:t> </w:t>
      </w:r>
      <w:r w:rsidRPr="008B5BDD">
        <w:t>: prise en compte d’activités destructrices de ressources (déforestation, construction d’une ligne de transport ferroviaire).</w:t>
      </w:r>
    </w:p>
    <w:p w:rsidR="009D15A5" w:rsidRPr="008B5BDD" w:rsidRDefault="009D15A5" w:rsidP="009D15A5">
      <w:pPr>
        <w:pStyle w:val="15Puces"/>
        <w:ind w:left="284" w:hanging="284"/>
      </w:pPr>
      <w:r w:rsidRPr="008B5BDD">
        <w:t>3</w:t>
      </w:r>
      <w:r w:rsidRPr="00E0366E">
        <w:rPr>
          <w:vertAlign w:val="superscript"/>
        </w:rPr>
        <w:t>e</w:t>
      </w:r>
      <w:r w:rsidRPr="008B5BDD">
        <w:t xml:space="preserve"> limite</w:t>
      </w:r>
      <w:r>
        <w:t> </w:t>
      </w:r>
      <w:r w:rsidRPr="008B5BDD">
        <w:t>: prise en compte d’activités sans effet sur le bien-être (qui ne font que rétablir une situation existante</w:t>
      </w:r>
      <w:r>
        <w:t> </w:t>
      </w:r>
      <w:r w:rsidRPr="008B5BDD">
        <w:t>: activités de lutte contre la pollution sous toutes ses formes)</w:t>
      </w:r>
      <w:r>
        <w:t> </w:t>
      </w:r>
      <w:r w:rsidRPr="008B5BDD">
        <w:t>;</w:t>
      </w:r>
    </w:p>
    <w:p w:rsidR="009D15A5" w:rsidRPr="008B5BDD" w:rsidRDefault="009D15A5" w:rsidP="009D15A5">
      <w:pPr>
        <w:pStyle w:val="15Puces"/>
        <w:ind w:left="284" w:hanging="284"/>
      </w:pPr>
      <w:r w:rsidRPr="008B5BDD">
        <w:t>4</w:t>
      </w:r>
      <w:r w:rsidRPr="00E0366E">
        <w:rPr>
          <w:vertAlign w:val="superscript"/>
        </w:rPr>
        <w:t>e</w:t>
      </w:r>
      <w:r w:rsidRPr="008B5BDD">
        <w:t xml:space="preserve"> limite</w:t>
      </w:r>
      <w:r>
        <w:t> </w:t>
      </w:r>
      <w:r w:rsidRPr="008B5BDD">
        <w:t>: aucune pondération selon la nature des biens produits (car l’évaluation est monétaire)</w:t>
      </w:r>
      <w:r>
        <w:t> </w:t>
      </w:r>
      <w:r w:rsidRPr="008B5BDD">
        <w:t>: un mois d’abonnement à un club de s</w:t>
      </w:r>
      <w:r>
        <w:t>port vaut une cartouche de ciga</w:t>
      </w:r>
      <w:r w:rsidRPr="008B5BDD">
        <w:t>rettes</w:t>
      </w:r>
      <w:r>
        <w:t> </w:t>
      </w:r>
      <w:r w:rsidRPr="008B5BDD">
        <w:t>;</w:t>
      </w:r>
    </w:p>
    <w:p w:rsidR="009D15A5" w:rsidRPr="008B5BDD" w:rsidRDefault="009D15A5" w:rsidP="009D15A5">
      <w:pPr>
        <w:pStyle w:val="15Puces"/>
        <w:ind w:left="284" w:hanging="284"/>
      </w:pPr>
      <w:r w:rsidRPr="008B5BDD">
        <w:t>5</w:t>
      </w:r>
      <w:r w:rsidRPr="00E0366E">
        <w:rPr>
          <w:vertAlign w:val="superscript"/>
        </w:rPr>
        <w:t>e</w:t>
      </w:r>
      <w:r w:rsidRPr="008B5BDD">
        <w:t xml:space="preserve"> limite</w:t>
      </w:r>
      <w:r>
        <w:t> </w:t>
      </w:r>
      <w:r w:rsidRPr="008B5BDD">
        <w:t>: sous-estimation de la production non marchande (car elle est évaluée à son coût de production, et donc non prise en compte d’un profit)</w:t>
      </w:r>
      <w:r>
        <w:t> </w:t>
      </w:r>
      <w:r w:rsidRPr="008B5BDD">
        <w:t>;</w:t>
      </w:r>
    </w:p>
    <w:p w:rsidR="009D15A5" w:rsidRPr="008B5BDD" w:rsidRDefault="009D15A5" w:rsidP="009D15A5">
      <w:pPr>
        <w:pStyle w:val="15Puces"/>
        <w:ind w:left="284" w:hanging="284"/>
      </w:pPr>
      <w:r w:rsidRPr="008B5BDD">
        <w:t>6</w:t>
      </w:r>
      <w:r w:rsidRPr="00E0366E">
        <w:rPr>
          <w:vertAlign w:val="superscript"/>
        </w:rPr>
        <w:t>e</w:t>
      </w:r>
      <w:r w:rsidRPr="008B5BDD">
        <w:t xml:space="preserve"> limite (PIB par tête)</w:t>
      </w:r>
      <w:r>
        <w:t> </w:t>
      </w:r>
      <w:r w:rsidRPr="008B5BDD">
        <w:t>: aucune information n’est fournie sur la répartition des richesses à l’intérieur d’un pays (parce que l’indicateur est une moyenne). Or le partage équitable de la richesse est source de co</w:t>
      </w:r>
      <w:r>
        <w:t>hésion sociale et de bien-être.</w:t>
      </w:r>
    </w:p>
    <w:p w:rsidR="003B0C64" w:rsidRDefault="003B0C64" w:rsidP="009D15A5"/>
    <w:p w:rsidR="002C11CD" w:rsidRDefault="002C11CD" w:rsidP="009D15A5"/>
    <w:p w:rsidR="002C11CD" w:rsidRDefault="002C11CD" w:rsidP="009D15A5"/>
    <w:p w:rsidR="002C11CD" w:rsidRDefault="002C11CD" w:rsidP="009D15A5"/>
    <w:p w:rsidR="002C11CD" w:rsidRDefault="002C11CD" w:rsidP="009D15A5"/>
    <w:p w:rsidR="002C11CD" w:rsidRDefault="002C11CD" w:rsidP="009D15A5"/>
    <w:p w:rsidR="002C11CD" w:rsidRDefault="002C11CD" w:rsidP="009D15A5"/>
    <w:p w:rsidR="002C11CD" w:rsidRDefault="002C11CD" w:rsidP="009D15A5"/>
    <w:p w:rsidR="002C11CD" w:rsidRDefault="002C11CD" w:rsidP="009D15A5"/>
    <w:p w:rsidR="002C11CD" w:rsidRDefault="002C11CD" w:rsidP="009D15A5"/>
    <w:p w:rsidR="002C11CD" w:rsidRPr="009D15A5" w:rsidRDefault="002C11CD" w:rsidP="009D15A5">
      <w:r>
        <w:tab/>
      </w:r>
      <w:r>
        <w:tab/>
      </w:r>
      <w:r>
        <w:tab/>
      </w:r>
      <w:r>
        <w:tab/>
      </w:r>
      <w:r>
        <w:tab/>
      </w:r>
      <w:r>
        <w:tab/>
      </w:r>
      <w:r>
        <w:tab/>
      </w:r>
      <w:r>
        <w:tab/>
      </w:r>
      <w:r>
        <w:tab/>
      </w:r>
      <w:r>
        <w:tab/>
      </w:r>
      <w:r>
        <w:tab/>
      </w:r>
      <w:r>
        <w:tab/>
      </w:r>
      <w:r>
        <w:t>1 ECO STMG</w:t>
      </w:r>
      <w:bookmarkStart w:id="0" w:name="_GoBack"/>
      <w:bookmarkEnd w:id="0"/>
    </w:p>
    <w:sectPr w:rsidR="002C11CD" w:rsidRPr="009D15A5" w:rsidSect="00FB0B63">
      <w:footerReference w:type="even" r:id="rId12"/>
      <w:pgSz w:w="11906" w:h="16838"/>
      <w:pgMar w:top="964" w:right="964" w:bottom="624" w:left="964" w:header="709" w:footer="69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9B" w:rsidRDefault="00E63F9B" w:rsidP="00E86C20">
      <w:r>
        <w:separator/>
      </w:r>
    </w:p>
  </w:endnote>
  <w:endnote w:type="continuationSeparator" w:id="0">
    <w:p w:rsidR="00E63F9B" w:rsidRDefault="00E63F9B" w:rsidP="00E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C6" w:rsidRDefault="00876EEB" w:rsidP="00014459">
    <w:pPr>
      <w:pStyle w:val="Pieddepage"/>
      <w:framePr w:wrap="around" w:vAnchor="text" w:hAnchor="margin" w:xAlign="right" w:y="1"/>
      <w:rPr>
        <w:rStyle w:val="Numrodepage"/>
      </w:rPr>
    </w:pPr>
    <w:r>
      <w:rPr>
        <w:rStyle w:val="Numrodepage"/>
      </w:rPr>
      <w:fldChar w:fldCharType="begin"/>
    </w:r>
    <w:r w:rsidR="00D47AC8">
      <w:rPr>
        <w:rStyle w:val="Numrodepage"/>
      </w:rPr>
      <w:instrText xml:space="preserve">PAGE  </w:instrText>
    </w:r>
    <w:r>
      <w:rPr>
        <w:rStyle w:val="Numrodepage"/>
      </w:rPr>
      <w:fldChar w:fldCharType="separate"/>
    </w:r>
    <w:r w:rsidR="00D47AC8">
      <w:rPr>
        <w:rStyle w:val="Numrodepage"/>
        <w:noProof/>
      </w:rPr>
      <w:t>16</w:t>
    </w:r>
    <w:r>
      <w:rPr>
        <w:rStyle w:val="Numrodepage"/>
      </w:rPr>
      <w:fldChar w:fldCharType="end"/>
    </w:r>
  </w:p>
  <w:p w:rsidR="00B049C6" w:rsidRDefault="00E63F9B" w:rsidP="0001445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9B" w:rsidRDefault="00E63F9B" w:rsidP="00E86C20">
      <w:r>
        <w:separator/>
      </w:r>
    </w:p>
  </w:footnote>
  <w:footnote w:type="continuationSeparator" w:id="0">
    <w:p w:rsidR="00E63F9B" w:rsidRDefault="00E63F9B" w:rsidP="00E8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21E"/>
    <w:multiLevelType w:val="hybridMultilevel"/>
    <w:tmpl w:val="89760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40441C"/>
    <w:multiLevelType w:val="hybridMultilevel"/>
    <w:tmpl w:val="947CF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582594"/>
    <w:multiLevelType w:val="hybridMultilevel"/>
    <w:tmpl w:val="A8FC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4B058F"/>
    <w:multiLevelType w:val="hybridMultilevel"/>
    <w:tmpl w:val="D180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F6365D"/>
    <w:multiLevelType w:val="hybridMultilevel"/>
    <w:tmpl w:val="C414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EF17D1"/>
    <w:multiLevelType w:val="hybridMultilevel"/>
    <w:tmpl w:val="20D871C2"/>
    <w:lvl w:ilvl="0" w:tplc="138E8E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4F23B9A"/>
    <w:multiLevelType w:val="hybridMultilevel"/>
    <w:tmpl w:val="AB7C63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FE79D2"/>
    <w:multiLevelType w:val="hybridMultilevel"/>
    <w:tmpl w:val="94B4337A"/>
    <w:lvl w:ilvl="0" w:tplc="375881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E86FB5"/>
    <w:multiLevelType w:val="hybridMultilevel"/>
    <w:tmpl w:val="832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0F138C"/>
    <w:multiLevelType w:val="hybridMultilevel"/>
    <w:tmpl w:val="B91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044C4D"/>
    <w:multiLevelType w:val="hybridMultilevel"/>
    <w:tmpl w:val="B9BACE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B941F0"/>
    <w:multiLevelType w:val="hybridMultilevel"/>
    <w:tmpl w:val="4EC449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3D6999"/>
    <w:multiLevelType w:val="hybridMultilevel"/>
    <w:tmpl w:val="E4F4FF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EE2AB1"/>
    <w:multiLevelType w:val="hybridMultilevel"/>
    <w:tmpl w:val="184A0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94F2AF8"/>
    <w:multiLevelType w:val="hybridMultilevel"/>
    <w:tmpl w:val="71703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9"/>
  </w:num>
  <w:num w:numId="4">
    <w:abstractNumId w:val="17"/>
  </w:num>
  <w:num w:numId="5">
    <w:abstractNumId w:val="21"/>
  </w:num>
  <w:num w:numId="6">
    <w:abstractNumId w:val="6"/>
  </w:num>
  <w:num w:numId="7">
    <w:abstractNumId w:val="15"/>
  </w:num>
  <w:num w:numId="8">
    <w:abstractNumId w:val="7"/>
  </w:num>
  <w:num w:numId="9">
    <w:abstractNumId w:val="1"/>
  </w:num>
  <w:num w:numId="10">
    <w:abstractNumId w:val="13"/>
  </w:num>
  <w:num w:numId="11">
    <w:abstractNumId w:val="20"/>
  </w:num>
  <w:num w:numId="12">
    <w:abstractNumId w:val="10"/>
  </w:num>
  <w:num w:numId="13">
    <w:abstractNumId w:val="14"/>
  </w:num>
  <w:num w:numId="14">
    <w:abstractNumId w:val="16"/>
  </w:num>
  <w:num w:numId="15">
    <w:abstractNumId w:val="8"/>
  </w:num>
  <w:num w:numId="16">
    <w:abstractNumId w:val="12"/>
  </w:num>
  <w:num w:numId="17">
    <w:abstractNumId w:val="5"/>
  </w:num>
  <w:num w:numId="18">
    <w:abstractNumId w:val="11"/>
  </w:num>
  <w:num w:numId="19">
    <w:abstractNumId w:val="4"/>
  </w:num>
  <w:num w:numId="20">
    <w:abstractNumId w:val="9"/>
  </w:num>
  <w:num w:numId="21">
    <w:abstractNumId w:val="18"/>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5358"/>
    <w:rsid w:val="000E793E"/>
    <w:rsid w:val="00101BA6"/>
    <w:rsid w:val="0010386E"/>
    <w:rsid w:val="00174384"/>
    <w:rsid w:val="001D014C"/>
    <w:rsid w:val="001D6EBB"/>
    <w:rsid w:val="00216175"/>
    <w:rsid w:val="00224795"/>
    <w:rsid w:val="002C11CD"/>
    <w:rsid w:val="002E3790"/>
    <w:rsid w:val="002F2FD1"/>
    <w:rsid w:val="0031415A"/>
    <w:rsid w:val="003B0C64"/>
    <w:rsid w:val="0044105D"/>
    <w:rsid w:val="00461E89"/>
    <w:rsid w:val="00481F96"/>
    <w:rsid w:val="00514F7B"/>
    <w:rsid w:val="0057055C"/>
    <w:rsid w:val="00572ACB"/>
    <w:rsid w:val="005942B2"/>
    <w:rsid w:val="005C6D27"/>
    <w:rsid w:val="0066464D"/>
    <w:rsid w:val="006C7CC8"/>
    <w:rsid w:val="006D58D4"/>
    <w:rsid w:val="007B34F5"/>
    <w:rsid w:val="007C0374"/>
    <w:rsid w:val="007C208F"/>
    <w:rsid w:val="007E1CA5"/>
    <w:rsid w:val="00827AA1"/>
    <w:rsid w:val="00856D8E"/>
    <w:rsid w:val="00876EEB"/>
    <w:rsid w:val="008A02AC"/>
    <w:rsid w:val="008A5A88"/>
    <w:rsid w:val="008D33EC"/>
    <w:rsid w:val="008F2796"/>
    <w:rsid w:val="00901F93"/>
    <w:rsid w:val="009451ED"/>
    <w:rsid w:val="00965AB2"/>
    <w:rsid w:val="00991E0A"/>
    <w:rsid w:val="009D15A5"/>
    <w:rsid w:val="00A228DC"/>
    <w:rsid w:val="00AB197A"/>
    <w:rsid w:val="00AC0292"/>
    <w:rsid w:val="00B0410D"/>
    <w:rsid w:val="00B16B21"/>
    <w:rsid w:val="00B401C4"/>
    <w:rsid w:val="00B50639"/>
    <w:rsid w:val="00B910E4"/>
    <w:rsid w:val="00BD7FE5"/>
    <w:rsid w:val="00C164D3"/>
    <w:rsid w:val="00CD04F7"/>
    <w:rsid w:val="00D0661F"/>
    <w:rsid w:val="00D14762"/>
    <w:rsid w:val="00D15387"/>
    <w:rsid w:val="00D47AC8"/>
    <w:rsid w:val="00D925D8"/>
    <w:rsid w:val="00DC1501"/>
    <w:rsid w:val="00DC5358"/>
    <w:rsid w:val="00E02F9F"/>
    <w:rsid w:val="00E13272"/>
    <w:rsid w:val="00E343F9"/>
    <w:rsid w:val="00E63F9B"/>
    <w:rsid w:val="00E86C20"/>
    <w:rsid w:val="00E8788D"/>
    <w:rsid w:val="00F302FE"/>
    <w:rsid w:val="00F44455"/>
    <w:rsid w:val="00F51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1"/>
    <w:pPr>
      <w:spacing w:after="0" w:line="240" w:lineRule="auto"/>
    </w:pPr>
    <w:rPr>
      <w:rFonts w:eastAsia="Times New Roman" w:cs="Times New Roman"/>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16B21"/>
    <w:pPr>
      <w:spacing w:before="100" w:beforeAutospacing="1" w:after="100" w:afterAutospacing="1"/>
    </w:pPr>
  </w:style>
  <w:style w:type="paragraph" w:customStyle="1" w:styleId="Aucunstyledeparagraphe">
    <w:name w:val="[Aucun style de paragraphe]"/>
    <w:uiPriority w:val="99"/>
    <w:rsid w:val="00B16B21"/>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fr-FR"/>
    </w:rPr>
  </w:style>
  <w:style w:type="paragraph" w:customStyle="1" w:styleId="00Chaptitre">
    <w:name w:val="00_Chap_titre"/>
    <w:basedOn w:val="Aucunstyledeparagraphe"/>
    <w:uiPriority w:val="99"/>
    <w:rsid w:val="00B16B21"/>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B16B21"/>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B16B21"/>
    <w:pPr>
      <w:spacing w:after="60"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B16B21"/>
    <w:pPr>
      <w:spacing w:before="113" w:after="170" w:line="288" w:lineRule="auto"/>
      <w:jc w:val="center"/>
    </w:pPr>
  </w:style>
  <w:style w:type="paragraph" w:customStyle="1" w:styleId="03Adressesiteprof">
    <w:name w:val="03_Adresse_site_prof"/>
    <w:basedOn w:val="TTextecourant"/>
    <w:next w:val="TTextecourant"/>
    <w:uiPriority w:val="99"/>
    <w:rsid w:val="00B16B21"/>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B16B21"/>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B16B21"/>
    <w:pPr>
      <w:numPr>
        <w:numId w:val="3"/>
      </w:numPr>
      <w:suppressAutoHyphens/>
      <w:spacing w:before="0"/>
    </w:pPr>
  </w:style>
  <w:style w:type="paragraph" w:customStyle="1" w:styleId="04Exercicestitre">
    <w:name w:val="04_Exercices_titre"/>
    <w:basedOn w:val="Aucunstyledeparagraphe"/>
    <w:next w:val="TTextecourant"/>
    <w:uiPriority w:val="99"/>
    <w:rsid w:val="00B16B21"/>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B16B21"/>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B16B21"/>
    <w:pPr>
      <w:keepNext/>
      <w:keepLines/>
      <w:suppressAutoHyphens/>
      <w:spacing w:after="120"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B16B21"/>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B16B21"/>
  </w:style>
  <w:style w:type="paragraph" w:customStyle="1" w:styleId="TEnumpuce">
    <w:name w:val="T_Enum_puce"/>
    <w:basedOn w:val="TTextecourant"/>
    <w:next w:val="TTextecourant"/>
    <w:uiPriority w:val="99"/>
    <w:rsid w:val="00B16B21"/>
    <w:pPr>
      <w:numPr>
        <w:numId w:val="4"/>
      </w:numPr>
    </w:pPr>
  </w:style>
  <w:style w:type="paragraph" w:customStyle="1" w:styleId="10Versepreuvetitre">
    <w:name w:val="10_Vers_epreuve_titre"/>
    <w:basedOn w:val="Aucunstyledeparagraphe"/>
    <w:next w:val="11Versepreuve"/>
    <w:uiPriority w:val="99"/>
    <w:rsid w:val="00B16B21"/>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B16B21"/>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B16B21"/>
    <w:pPr>
      <w:numPr>
        <w:numId w:val="5"/>
      </w:numPr>
      <w:tabs>
        <w:tab w:val="clear" w:pos="113"/>
        <w:tab w:val="left" w:pos="170"/>
      </w:tabs>
    </w:pPr>
  </w:style>
  <w:style w:type="paragraph" w:customStyle="1" w:styleId="TEnumpoint">
    <w:name w:val="T_Enum_point"/>
    <w:basedOn w:val="TTextecourant"/>
    <w:next w:val="TTextecourant"/>
    <w:uiPriority w:val="99"/>
    <w:rsid w:val="00B16B21"/>
    <w:pPr>
      <w:numPr>
        <w:numId w:val="6"/>
      </w:numPr>
      <w:tabs>
        <w:tab w:val="left" w:pos="100"/>
      </w:tabs>
      <w:suppressAutoHyphens/>
    </w:pPr>
  </w:style>
  <w:style w:type="paragraph" w:customStyle="1" w:styleId="TTitrepuce">
    <w:name w:val="T_Titre_puce"/>
    <w:basedOn w:val="TTextecourant"/>
    <w:next w:val="TTextecourant"/>
    <w:uiPriority w:val="99"/>
    <w:rsid w:val="00B16B21"/>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B16B21"/>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B16B21"/>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B16B21"/>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B16B21"/>
    <w:pPr>
      <w:jc w:val="right"/>
    </w:pPr>
  </w:style>
  <w:style w:type="paragraph" w:customStyle="1" w:styleId="07Titregras">
    <w:name w:val="07_Titre_gras"/>
    <w:basedOn w:val="TTextecourant"/>
    <w:next w:val="TTextecourant"/>
    <w:uiPriority w:val="99"/>
    <w:rsid w:val="00B16B21"/>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B16B21"/>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B16B21"/>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B16B21"/>
    <w:pPr>
      <w:numPr>
        <w:numId w:val="1"/>
      </w:numPr>
      <w:tabs>
        <w:tab w:val="clear" w:pos="57"/>
        <w:tab w:val="left" w:pos="113"/>
      </w:tabs>
    </w:pPr>
  </w:style>
  <w:style w:type="paragraph" w:customStyle="1" w:styleId="Tableaulistetiret">
    <w:name w:val="Tableau_liste_tiret"/>
    <w:basedOn w:val="Tableaucourant"/>
    <w:uiPriority w:val="99"/>
    <w:rsid w:val="00B16B21"/>
    <w:pPr>
      <w:numPr>
        <w:numId w:val="2"/>
      </w:numPr>
    </w:pPr>
  </w:style>
  <w:style w:type="character" w:customStyle="1" w:styleId="ChaptitrepourTC">
    <w:name w:val="Chap_titre_pour_TC"/>
    <w:uiPriority w:val="99"/>
    <w:rsid w:val="00B16B21"/>
  </w:style>
  <w:style w:type="character" w:customStyle="1" w:styleId="i">
    <w:name w:val="i"/>
    <w:uiPriority w:val="99"/>
    <w:rsid w:val="00B16B21"/>
    <w:rPr>
      <w:i/>
    </w:rPr>
  </w:style>
  <w:style w:type="character" w:customStyle="1" w:styleId="b">
    <w:name w:val="b"/>
    <w:uiPriority w:val="99"/>
    <w:rsid w:val="00B16B21"/>
    <w:rPr>
      <w:b/>
    </w:rPr>
  </w:style>
  <w:style w:type="character" w:customStyle="1" w:styleId="pc">
    <w:name w:val="pc"/>
    <w:uiPriority w:val="99"/>
    <w:rsid w:val="00B16B21"/>
    <w:rPr>
      <w:smallCaps/>
    </w:rPr>
  </w:style>
  <w:style w:type="character" w:customStyle="1" w:styleId="exp">
    <w:name w:val="exp"/>
    <w:uiPriority w:val="99"/>
    <w:rsid w:val="00B16B21"/>
    <w:rPr>
      <w:vertAlign w:val="superscript"/>
    </w:rPr>
  </w:style>
  <w:style w:type="character" w:customStyle="1" w:styleId="ind">
    <w:name w:val="ind"/>
    <w:uiPriority w:val="99"/>
    <w:rsid w:val="00B16B21"/>
    <w:rPr>
      <w:vertAlign w:val="subscript"/>
    </w:rPr>
  </w:style>
  <w:style w:type="character" w:customStyle="1" w:styleId="soul">
    <w:name w:val="soul"/>
    <w:uiPriority w:val="99"/>
    <w:rsid w:val="00B16B21"/>
    <w:rPr>
      <w:u w:val="thick"/>
    </w:rPr>
  </w:style>
  <w:style w:type="character" w:customStyle="1" w:styleId="Symbol">
    <w:name w:val="Symbol"/>
    <w:uiPriority w:val="99"/>
    <w:rsid w:val="00B16B21"/>
    <w:rPr>
      <w:rFonts w:ascii="Symbol" w:hAnsi="Symbol"/>
      <w:w w:val="100"/>
    </w:rPr>
  </w:style>
  <w:style w:type="character" w:customStyle="1" w:styleId="Chapnum">
    <w:name w:val="Chap_num"/>
    <w:uiPriority w:val="99"/>
    <w:rsid w:val="00B16B21"/>
    <w:rPr>
      <w:rFonts w:ascii="GuidePedagoNCond-Bold" w:hAnsi="GuidePedagoNCond-Bold"/>
      <w:b/>
      <w:color w:val="000000"/>
      <w:spacing w:val="0"/>
      <w:sz w:val="100"/>
      <w:lang w:val="fr-FR"/>
    </w:rPr>
  </w:style>
  <w:style w:type="character" w:customStyle="1" w:styleId="Exercicenum">
    <w:name w:val="Exercice_num"/>
    <w:uiPriority w:val="99"/>
    <w:rsid w:val="00B16B21"/>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B16B21"/>
    <w:rPr>
      <w:b/>
      <w:i/>
    </w:rPr>
  </w:style>
  <w:style w:type="paragraph" w:customStyle="1" w:styleId="EncaTitre">
    <w:name w:val="Enca_Titre"/>
    <w:basedOn w:val="TTextecourant"/>
    <w:qFormat/>
    <w:rsid w:val="00B16B21"/>
    <w:pPr>
      <w:suppressAutoHyphens/>
    </w:pPr>
    <w:rPr>
      <w:b/>
    </w:rPr>
  </w:style>
  <w:style w:type="paragraph" w:customStyle="1" w:styleId="EncaTxt">
    <w:name w:val="Enca_Txt"/>
    <w:basedOn w:val="TTextecourant"/>
    <w:qFormat/>
    <w:rsid w:val="00B16B21"/>
    <w:pPr>
      <w:suppressAutoHyphens/>
    </w:pPr>
  </w:style>
  <w:style w:type="paragraph" w:customStyle="1" w:styleId="01Chapogras">
    <w:name w:val="01_Chapo_gras"/>
    <w:basedOn w:val="TTextecourant"/>
    <w:qFormat/>
    <w:rsid w:val="00B16B21"/>
    <w:pPr>
      <w:spacing w:before="120"/>
    </w:pPr>
    <w:rPr>
      <w:rFonts w:ascii="Guide Pedago NCond" w:hAnsi="Guide Pedago NCond"/>
      <w:b/>
    </w:rPr>
  </w:style>
  <w:style w:type="paragraph" w:customStyle="1" w:styleId="01Chapo">
    <w:name w:val="01_Chapo"/>
    <w:basedOn w:val="TTextecourant"/>
    <w:qFormat/>
    <w:rsid w:val="00B16B21"/>
    <w:pPr>
      <w:spacing w:before="120"/>
    </w:pPr>
    <w:rPr>
      <w:rFonts w:ascii="Guide Pedago NCond" w:hAnsi="Guide Pedago NCond"/>
    </w:rPr>
  </w:style>
  <w:style w:type="paragraph" w:styleId="En-tte">
    <w:name w:val="header"/>
    <w:basedOn w:val="Normal"/>
    <w:link w:val="En-tteCar"/>
    <w:uiPriority w:val="99"/>
    <w:semiHidden/>
    <w:unhideWhenUsed/>
    <w:rsid w:val="00B16B21"/>
    <w:pPr>
      <w:tabs>
        <w:tab w:val="center" w:pos="4536"/>
        <w:tab w:val="right" w:pos="9072"/>
      </w:tabs>
    </w:pPr>
  </w:style>
  <w:style w:type="character" w:customStyle="1" w:styleId="En-tteCar">
    <w:name w:val="En-tête Car"/>
    <w:basedOn w:val="Policepardfaut"/>
    <w:link w:val="En-tte"/>
    <w:uiPriority w:val="99"/>
    <w:semiHidden/>
    <w:rsid w:val="00B16B21"/>
    <w:rPr>
      <w:rFonts w:eastAsia="Times New Roman" w:cs="Times New Roman"/>
      <w:kern w:val="0"/>
      <w:sz w:val="24"/>
      <w:szCs w:val="24"/>
      <w:lang w:eastAsia="fr-FR"/>
    </w:rPr>
  </w:style>
  <w:style w:type="paragraph" w:styleId="Pieddepage">
    <w:name w:val="footer"/>
    <w:basedOn w:val="Normal"/>
    <w:link w:val="PieddepageCar"/>
    <w:uiPriority w:val="99"/>
    <w:unhideWhenUsed/>
    <w:rsid w:val="00B16B21"/>
    <w:pPr>
      <w:tabs>
        <w:tab w:val="center" w:pos="4536"/>
        <w:tab w:val="right" w:pos="9072"/>
      </w:tabs>
    </w:pPr>
  </w:style>
  <w:style w:type="character" w:customStyle="1" w:styleId="PieddepageCar">
    <w:name w:val="Pied de page Car"/>
    <w:basedOn w:val="Policepardfaut"/>
    <w:link w:val="Pieddepage"/>
    <w:uiPriority w:val="99"/>
    <w:rsid w:val="00B16B21"/>
    <w:rPr>
      <w:rFonts w:eastAsia="Times New Roman" w:cs="Times New Roman"/>
      <w:kern w:val="0"/>
      <w:sz w:val="24"/>
      <w:szCs w:val="24"/>
      <w:lang w:eastAsia="fr-FR"/>
    </w:rPr>
  </w:style>
  <w:style w:type="paragraph" w:styleId="Textedebulles">
    <w:name w:val="Balloon Text"/>
    <w:basedOn w:val="Normal"/>
    <w:link w:val="TextedebullesCar"/>
    <w:uiPriority w:val="99"/>
    <w:semiHidden/>
    <w:unhideWhenUsed/>
    <w:rsid w:val="00B16B21"/>
    <w:rPr>
      <w:rFonts w:ascii="Tahoma" w:hAnsi="Tahoma" w:cs="Tahoma"/>
      <w:sz w:val="16"/>
      <w:szCs w:val="16"/>
    </w:rPr>
  </w:style>
  <w:style w:type="character" w:customStyle="1" w:styleId="TextedebullesCar">
    <w:name w:val="Texte de bulles Car"/>
    <w:basedOn w:val="Policepardfaut"/>
    <w:link w:val="Textedebulles"/>
    <w:uiPriority w:val="99"/>
    <w:semiHidden/>
    <w:rsid w:val="00B16B21"/>
    <w:rPr>
      <w:rFonts w:ascii="Tahoma" w:eastAsia="Times New Roman" w:hAnsi="Tahoma" w:cs="Tahoma"/>
      <w:kern w:val="0"/>
      <w:sz w:val="16"/>
      <w:szCs w:val="16"/>
      <w:lang w:eastAsia="fr-FR"/>
    </w:rPr>
  </w:style>
  <w:style w:type="paragraph" w:customStyle="1" w:styleId="Pieddepagedroite">
    <w:name w:val="Pied de page droite"/>
    <w:rsid w:val="00B16B21"/>
    <w:pPr>
      <w:widowControl w:val="0"/>
      <w:tabs>
        <w:tab w:val="right" w:pos="10206"/>
      </w:tabs>
      <w:suppressAutoHyphens/>
      <w:autoSpaceDE w:val="0"/>
      <w:autoSpaceDN w:val="0"/>
      <w:adjustRightInd w:val="0"/>
      <w:spacing w:after="0" w:line="240" w:lineRule="atLeast"/>
    </w:pPr>
    <w:rPr>
      <w:rFonts w:ascii="Guide Pedago Arial" w:eastAsia="Times New Roman" w:hAnsi="Guide Pedago Arial" w:cs="Guide Pedago Arial"/>
      <w:color w:val="000000"/>
      <w:kern w:val="0"/>
      <w:sz w:val="17"/>
      <w:szCs w:val="17"/>
      <w:lang w:eastAsia="fr-FR"/>
    </w:rPr>
  </w:style>
  <w:style w:type="character" w:customStyle="1" w:styleId="Bold">
    <w:name w:val="Bold"/>
    <w:rsid w:val="00B16B21"/>
    <w:rPr>
      <w:b/>
      <w:bCs/>
    </w:rPr>
  </w:style>
  <w:style w:type="character" w:customStyle="1" w:styleId="Folio">
    <w:name w:val="Folio"/>
    <w:rsid w:val="00B16B21"/>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B16B21"/>
    <w:pPr>
      <w:widowControl w:val="0"/>
      <w:tabs>
        <w:tab w:val="right" w:pos="7340"/>
      </w:tabs>
      <w:suppressAutoHyphens/>
      <w:autoSpaceDE w:val="0"/>
      <w:autoSpaceDN w:val="0"/>
      <w:adjustRightInd w:val="0"/>
      <w:spacing w:after="0" w:line="200" w:lineRule="atLeast"/>
      <w:jc w:val="both"/>
    </w:pPr>
    <w:rPr>
      <w:rFonts w:ascii="Guide Pedago Arial" w:eastAsia="Times New Roman" w:hAnsi="Guide Pedago Arial" w:cs="Guide Pedago Arial"/>
      <w:b/>
      <w:bCs/>
      <w:color w:val="000000"/>
      <w:w w:val="0"/>
      <w:kern w:val="0"/>
      <w:sz w:val="16"/>
      <w:szCs w:val="16"/>
      <w:lang w:eastAsia="fr-FR"/>
    </w:rPr>
  </w:style>
  <w:style w:type="paragraph" w:styleId="Paragraphedeliste">
    <w:name w:val="List Paragraph"/>
    <w:basedOn w:val="Normal"/>
    <w:uiPriority w:val="34"/>
    <w:qFormat/>
    <w:rsid w:val="00B16B21"/>
    <w:pPr>
      <w:ind w:left="720"/>
      <w:contextualSpacing/>
    </w:pPr>
  </w:style>
  <w:style w:type="character" w:styleId="Lienhypertexte">
    <w:name w:val="Hyperlink"/>
    <w:basedOn w:val="Policepardfaut"/>
    <w:uiPriority w:val="99"/>
    <w:rsid w:val="00B16B21"/>
    <w:rPr>
      <w:color w:val="0000FF"/>
      <w:u w:val="single"/>
    </w:rPr>
  </w:style>
  <w:style w:type="character" w:styleId="Numrodepage">
    <w:name w:val="page number"/>
    <w:basedOn w:val="Policepardfaut"/>
    <w:uiPriority w:val="99"/>
    <w:rsid w:val="00B16B21"/>
    <w:rPr>
      <w:rFonts w:cs="Times New Roman"/>
    </w:rPr>
  </w:style>
  <w:style w:type="paragraph" w:customStyle="1" w:styleId="commentaire">
    <w:name w:val="commentaire"/>
    <w:basedOn w:val="Normal"/>
    <w:rsid w:val="00B16B21"/>
    <w:pPr>
      <w:spacing w:before="100" w:beforeAutospacing="1" w:after="100" w:afterAutospacing="1"/>
    </w:pPr>
  </w:style>
  <w:style w:type="table" w:styleId="Grilledutableau">
    <w:name w:val="Table Grid"/>
    <w:basedOn w:val="TableauNormal"/>
    <w:uiPriority w:val="59"/>
    <w:rsid w:val="00B16B21"/>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 2"/>
    <w:basedOn w:val="Normal"/>
    <w:next w:val="Normal"/>
    <w:link w:val="TitreCar"/>
    <w:uiPriority w:val="99"/>
    <w:qFormat/>
    <w:rsid w:val="00B16B21"/>
    <w:pPr>
      <w:spacing w:before="120" w:after="120"/>
      <w:outlineLvl w:val="0"/>
    </w:pPr>
    <w:rPr>
      <w:rFonts w:ascii="Arial" w:hAnsi="Arial"/>
      <w:b/>
      <w:bCs/>
      <w:kern w:val="28"/>
      <w:sz w:val="28"/>
      <w:szCs w:val="32"/>
    </w:rPr>
  </w:style>
  <w:style w:type="character" w:customStyle="1" w:styleId="TitreCar">
    <w:name w:val="Titre Car"/>
    <w:aliases w:val="T 2 Car"/>
    <w:basedOn w:val="Policepardfaut"/>
    <w:link w:val="Titre"/>
    <w:uiPriority w:val="99"/>
    <w:rsid w:val="00B16B21"/>
    <w:rPr>
      <w:rFonts w:ascii="Arial" w:eastAsia="Times New Roman" w:hAnsi="Arial" w:cs="Times New Roman"/>
      <w:b/>
      <w:bCs/>
      <w:kern w:val="28"/>
      <w:sz w:val="28"/>
      <w:szCs w:val="32"/>
      <w:lang w:eastAsia="fr-FR"/>
    </w:rPr>
  </w:style>
  <w:style w:type="character" w:styleId="Marquedecommentaire">
    <w:name w:val="annotation reference"/>
    <w:basedOn w:val="Policepardfaut"/>
    <w:uiPriority w:val="99"/>
    <w:semiHidden/>
    <w:unhideWhenUsed/>
    <w:rsid w:val="00B16B21"/>
    <w:rPr>
      <w:sz w:val="16"/>
      <w:szCs w:val="16"/>
    </w:rPr>
  </w:style>
  <w:style w:type="paragraph" w:styleId="Commentaire0">
    <w:name w:val="annotation text"/>
    <w:basedOn w:val="Normal"/>
    <w:link w:val="CommentaireCar"/>
    <w:uiPriority w:val="99"/>
    <w:semiHidden/>
    <w:unhideWhenUsed/>
    <w:rsid w:val="00B16B21"/>
    <w:rPr>
      <w:sz w:val="20"/>
      <w:szCs w:val="20"/>
    </w:rPr>
  </w:style>
  <w:style w:type="character" w:customStyle="1" w:styleId="CommentaireCar">
    <w:name w:val="Commentaire Car"/>
    <w:basedOn w:val="Policepardfaut"/>
    <w:link w:val="Commentaire0"/>
    <w:uiPriority w:val="99"/>
    <w:semiHidden/>
    <w:rsid w:val="00B16B21"/>
    <w:rPr>
      <w:rFonts w:eastAsia="Times New Roman" w:cs="Times New Roman"/>
      <w:kern w:val="0"/>
      <w:lang w:eastAsia="fr-FR"/>
    </w:rPr>
  </w:style>
  <w:style w:type="paragraph" w:customStyle="1" w:styleId="Default">
    <w:name w:val="Default"/>
    <w:rsid w:val="00B16B21"/>
    <w:pPr>
      <w:autoSpaceDE w:val="0"/>
      <w:autoSpaceDN w:val="0"/>
      <w:adjustRightInd w:val="0"/>
      <w:spacing w:after="0" w:line="240" w:lineRule="auto"/>
    </w:pPr>
    <w:rPr>
      <w:rFonts w:ascii="Guide Pedago Arial" w:hAnsi="Guide Pedago Arial" w:cs="Guide Pedago Arial"/>
      <w:color w:val="000000"/>
      <w:kern w:val="0"/>
      <w:sz w:val="24"/>
      <w:szCs w:val="24"/>
    </w:rPr>
  </w:style>
  <w:style w:type="paragraph" w:customStyle="1" w:styleId="Pa16">
    <w:name w:val="Pa16"/>
    <w:basedOn w:val="Default"/>
    <w:next w:val="Default"/>
    <w:uiPriority w:val="99"/>
    <w:rsid w:val="00B16B21"/>
    <w:pPr>
      <w:spacing w:line="231" w:lineRule="atLeast"/>
    </w:pPr>
    <w:rPr>
      <w:rFonts w:cstheme="minorBidi"/>
      <w:color w:val="auto"/>
    </w:rPr>
  </w:style>
  <w:style w:type="paragraph" w:customStyle="1" w:styleId="Pa15">
    <w:name w:val="Pa15"/>
    <w:basedOn w:val="Default"/>
    <w:next w:val="Default"/>
    <w:uiPriority w:val="99"/>
    <w:rsid w:val="00B16B21"/>
    <w:pPr>
      <w:spacing w:line="160" w:lineRule="atLeast"/>
    </w:pPr>
    <w:rPr>
      <w:rFonts w:cstheme="minorBidi"/>
      <w:color w:val="auto"/>
    </w:rPr>
  </w:style>
  <w:style w:type="character" w:customStyle="1" w:styleId="A19">
    <w:name w:val="A19"/>
    <w:uiPriority w:val="99"/>
    <w:rsid w:val="00B16B21"/>
    <w:rPr>
      <w:rFonts w:ascii="Guide Pedago NCond" w:hAnsi="Guide Pedago NCond" w:cs="Guide Pedago NCond"/>
      <w:color w:val="000000"/>
      <w:sz w:val="16"/>
      <w:szCs w:val="16"/>
    </w:rPr>
  </w:style>
  <w:style w:type="paragraph" w:customStyle="1" w:styleId="Pa17">
    <w:name w:val="Pa17"/>
    <w:basedOn w:val="Default"/>
    <w:next w:val="Default"/>
    <w:uiPriority w:val="99"/>
    <w:rsid w:val="00B16B21"/>
    <w:pPr>
      <w:spacing w:line="220" w:lineRule="atLeast"/>
    </w:pPr>
    <w:rPr>
      <w:rFonts w:ascii="Guide Pedago NCond" w:hAnsi="Guide Pedago NCond" w:cstheme="minorBidi"/>
      <w:color w:val="auto"/>
    </w:rPr>
  </w:style>
  <w:style w:type="paragraph" w:customStyle="1" w:styleId="TTextecourant">
    <w:name w:val="T_Texte_courant"/>
    <w:basedOn w:val="Aucunstyledeparagraphe"/>
    <w:uiPriority w:val="99"/>
    <w:rsid w:val="00B16B21"/>
    <w:pPr>
      <w:spacing w:line="260" w:lineRule="atLeast"/>
      <w:jc w:val="both"/>
    </w:pPr>
    <w:rPr>
      <w:rFonts w:ascii="GuidePedagoTimes" w:hAnsi="GuidePedagoTimes" w:cs="GuidePedagoTimes"/>
      <w:sz w:val="22"/>
      <w:szCs w:val="22"/>
    </w:rPr>
  </w:style>
  <w:style w:type="character" w:customStyle="1" w:styleId="02Chapnum">
    <w:name w:val="02_Chap_num"/>
    <w:uiPriority w:val="99"/>
    <w:rsid w:val="00B16B21"/>
    <w:rPr>
      <w:rFonts w:ascii="GuidePedagoNCond-Bold" w:hAnsi="GuidePedagoNCond-Bold"/>
      <w:b/>
      <w:color w:val="000000"/>
      <w:spacing w:val="0"/>
      <w:sz w:val="100"/>
      <w:lang w:val="fr-FR"/>
    </w:rPr>
  </w:style>
  <w:style w:type="character" w:customStyle="1" w:styleId="12TTextecourantCar">
    <w:name w:val="12_T_Texte_courant Car"/>
    <w:basedOn w:val="Policepardfaut"/>
    <w:link w:val="12TTextecourant"/>
    <w:uiPriority w:val="99"/>
    <w:rsid w:val="00B16B21"/>
    <w:rPr>
      <w:rFonts w:ascii="GuidePedagoTimes" w:eastAsia="Times New Roman" w:hAnsi="GuidePedagoTimes" w:cs="GuidePedagoTimes"/>
      <w:color w:val="000000"/>
      <w:kern w:val="0"/>
      <w:sz w:val="22"/>
      <w:szCs w:val="22"/>
      <w:lang w:eastAsia="fr-FR"/>
    </w:rPr>
  </w:style>
  <w:style w:type="character" w:customStyle="1" w:styleId="A24">
    <w:name w:val="A24"/>
    <w:uiPriority w:val="99"/>
    <w:rsid w:val="00B16B21"/>
    <w:rPr>
      <w:rFonts w:cs="Guide Pedago NCond"/>
      <w:b/>
      <w:bCs/>
      <w:color w:val="000000"/>
      <w:sz w:val="44"/>
      <w:szCs w:val="44"/>
    </w:rPr>
  </w:style>
  <w:style w:type="paragraph" w:customStyle="1" w:styleId="15Puces">
    <w:name w:val="15_Puces"/>
    <w:basedOn w:val="12TTextecourant"/>
    <w:link w:val="15pucesCar"/>
    <w:qFormat/>
    <w:rsid w:val="009D15A5"/>
    <w:pPr>
      <w:numPr>
        <w:numId w:val="22"/>
      </w:numPr>
      <w:spacing w:after="0"/>
      <w:ind w:left="720"/>
    </w:pPr>
    <w:rPr>
      <w:sz w:val="20"/>
    </w:rPr>
  </w:style>
  <w:style w:type="character" w:customStyle="1" w:styleId="15pucesCar">
    <w:name w:val="15_puces Car"/>
    <w:basedOn w:val="12TTextecourantCar"/>
    <w:link w:val="15Puces"/>
    <w:rsid w:val="009D15A5"/>
    <w:rPr>
      <w:rFonts w:ascii="GuidePedagoTimes" w:eastAsia="Times New Roman" w:hAnsi="GuidePedagoTimes" w:cs="GuidePedagoTimes"/>
      <w:color w:val="000000"/>
      <w:kern w:val="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1-Pochette%20&#201;conomie%20NE%202014\Guide%20p&#233;dago\Nouvelle%20&#233;dition\GP%20O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OK.dotx</Template>
  <TotalTime>3</TotalTime>
  <Pages>2</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2014-04-02T15:36:00Z</cp:lastPrinted>
  <dcterms:created xsi:type="dcterms:W3CDTF">2014-04-02T16:01:00Z</dcterms:created>
  <dcterms:modified xsi:type="dcterms:W3CDTF">2016-07-03T14:55:00Z</dcterms:modified>
</cp:coreProperties>
</file>