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5" w:rsidRPr="001A0335" w:rsidRDefault="001A0335" w:rsidP="001A0335">
      <w:pPr>
        <w:rPr>
          <w:rFonts w:ascii="GuidePedagoArial" w:hAnsi="GuidePedagoArial" w:cs="GuidePedagoArial"/>
          <w:color w:val="000000"/>
          <w:sz w:val="48"/>
          <w:szCs w:val="48"/>
        </w:rPr>
      </w:pPr>
      <w:r w:rsidRPr="001A0335">
        <w:rPr>
          <w:rStyle w:val="Chapnum"/>
        </w:rPr>
        <w:t>0</w:t>
      </w:r>
      <w:r w:rsidR="0001148C">
        <w:rPr>
          <w:rStyle w:val="Chapnum"/>
        </w:rPr>
        <w:t>6</w:t>
      </w:r>
      <w:r w:rsidRPr="001A0335">
        <w:rPr>
          <w:rFonts w:ascii="GuidePedagoArial" w:hAnsi="GuidePedagoArial" w:cs="GuidePedagoArial"/>
          <w:color w:val="000000"/>
          <w:sz w:val="48"/>
          <w:szCs w:val="48"/>
        </w:rPr>
        <w:t xml:space="preserve"> Quelles sont les principales options str</w:t>
      </w:r>
      <w:r w:rsidRPr="001A0335">
        <w:rPr>
          <w:rFonts w:ascii="GuidePedagoArial" w:hAnsi="GuidePedagoArial" w:cs="GuidePedagoArial"/>
          <w:color w:val="000000"/>
          <w:sz w:val="48"/>
          <w:szCs w:val="48"/>
        </w:rPr>
        <w:t>a</w:t>
      </w:r>
      <w:r w:rsidRPr="001A0335">
        <w:rPr>
          <w:rFonts w:ascii="GuidePedagoArial" w:hAnsi="GuidePedagoArial" w:cs="GuidePedagoArial"/>
          <w:color w:val="000000"/>
          <w:sz w:val="48"/>
          <w:szCs w:val="48"/>
        </w:rPr>
        <w:t>tégiques pour les entreprises ?</w:t>
      </w:r>
    </w:p>
    <w:p w:rsidR="001A0335" w:rsidRPr="001A0335" w:rsidRDefault="001A0335" w:rsidP="001A0335">
      <w:pPr>
        <w:pStyle w:val="TTextecourant"/>
      </w:pPr>
      <w:r w:rsidRPr="001A0335">
        <w:t>Définir une stratégie revient à rechercher un avantage concurrentiel durable et défendable.</w:t>
      </w:r>
    </w:p>
    <w:p w:rsidR="001A0335" w:rsidRPr="001A0335" w:rsidRDefault="001A0335" w:rsidP="001A0335">
      <w:pPr>
        <w:pStyle w:val="TTextecourant"/>
      </w:pPr>
      <w:r w:rsidRPr="001A0335">
        <w:t>Pour ce faire, l’entreprise doit répondre à trois questions clés</w:t>
      </w:r>
      <w:r>
        <w:t> </w:t>
      </w:r>
      <w:r w:rsidRPr="001A0335">
        <w:t>:</w:t>
      </w:r>
      <w:bookmarkStart w:id="0" w:name="_GoBack"/>
      <w:bookmarkEnd w:id="0"/>
    </w:p>
    <w:p w:rsidR="001A0335" w:rsidRPr="001A0335" w:rsidRDefault="001A0335" w:rsidP="001A0335">
      <w:pPr>
        <w:pStyle w:val="TEnumpuce"/>
      </w:pPr>
      <w:r w:rsidRPr="001A0335">
        <w:t>Quelle arme choisir pour affronter la concurrence</w:t>
      </w:r>
      <w:r>
        <w:t> </w:t>
      </w:r>
      <w:r w:rsidRPr="001A0335">
        <w:t>?</w:t>
      </w:r>
    </w:p>
    <w:p w:rsidR="001A0335" w:rsidRPr="001A0335" w:rsidRDefault="001A0335" w:rsidP="001A0335">
      <w:pPr>
        <w:pStyle w:val="TEnumpuce"/>
      </w:pPr>
      <w:r w:rsidRPr="001A0335">
        <w:t>Quel axe de développement faut-il privilégier</w:t>
      </w:r>
      <w:r>
        <w:t> </w:t>
      </w:r>
      <w:r w:rsidRPr="001A0335">
        <w:t>?</w:t>
      </w:r>
    </w:p>
    <w:p w:rsidR="001A0335" w:rsidRPr="001A0335" w:rsidRDefault="001A0335" w:rsidP="001A0335">
      <w:pPr>
        <w:pStyle w:val="TEnumpuce"/>
      </w:pPr>
      <w:r w:rsidRPr="001A0335">
        <w:t>Quel périmètre d’activité faut-il circonscrire</w:t>
      </w:r>
      <w:r>
        <w:t> </w:t>
      </w:r>
      <w:r w:rsidRPr="001A0335">
        <w:t>?</w:t>
      </w:r>
    </w:p>
    <w:p w:rsidR="001A0335" w:rsidRPr="001A0335" w:rsidRDefault="001A0335" w:rsidP="001A0335">
      <w:pPr>
        <w:pStyle w:val="10Versepreuvetitre"/>
      </w:pPr>
      <w:r w:rsidRPr="001A0335">
        <w:t>I. Le choix d’une strat</w:t>
      </w:r>
      <w:r>
        <w:t>É</w:t>
      </w:r>
      <w:r w:rsidRPr="001A0335">
        <w:t>gie concurrentielle</w:t>
      </w:r>
    </w:p>
    <w:p w:rsidR="001A0335" w:rsidRPr="00680CB9" w:rsidRDefault="001A0335" w:rsidP="00680CB9">
      <w:pPr>
        <w:pStyle w:val="04Exercicestitre"/>
        <w:spacing w:before="120"/>
        <w:rPr>
          <w:rFonts w:ascii="Arial" w:hAnsi="Arial" w:cs="Arial"/>
        </w:rPr>
      </w:pPr>
      <w:r w:rsidRPr="00680CB9">
        <w:rPr>
          <w:rFonts w:ascii="Arial" w:hAnsi="Arial" w:cs="Arial"/>
        </w:rPr>
        <w:t>A. Les deux principales stratégies concurrentielles</w:t>
      </w:r>
    </w:p>
    <w:p w:rsidR="001A0335" w:rsidRPr="001A0335" w:rsidRDefault="001A0335" w:rsidP="001A0335">
      <w:pPr>
        <w:pStyle w:val="TTextecourant"/>
      </w:pPr>
      <w:r w:rsidRPr="001A0335">
        <w:t>Pour affronter la concurrence, l’entreprise dispose de l’alternative suivante</w:t>
      </w:r>
      <w:r>
        <w:t> </w:t>
      </w:r>
      <w:r w:rsidRPr="001A0335">
        <w:t>: soit elle</w:t>
      </w:r>
      <w:r>
        <w:t xml:space="preserve"> </w:t>
      </w:r>
      <w:r w:rsidRPr="001A0335">
        <w:t>tente de se démarquer de ses rivaux (stratégie de différenciation), soit elle produit à</w:t>
      </w:r>
      <w:r>
        <w:t xml:space="preserve"> </w:t>
      </w:r>
      <w:r w:rsidRPr="001A0335">
        <w:t>moindres coûts (stratégie de domination par les coûts). Ce choix doit être réalisé pour</w:t>
      </w:r>
      <w:r>
        <w:t xml:space="preserve"> </w:t>
      </w:r>
      <w:r w:rsidRPr="001A0335">
        <w:t>chacun des domaines d’activité appréhendés.</w:t>
      </w:r>
    </w:p>
    <w:p w:rsidR="001A0335" w:rsidRPr="00680CB9" w:rsidRDefault="001A0335" w:rsidP="00680CB9">
      <w:pPr>
        <w:pStyle w:val="04Exercicestitre"/>
        <w:spacing w:before="120"/>
        <w:rPr>
          <w:rFonts w:ascii="Arial" w:hAnsi="Arial" w:cs="Arial"/>
        </w:rPr>
      </w:pPr>
      <w:r w:rsidRPr="00680CB9">
        <w:rPr>
          <w:rFonts w:ascii="Arial" w:hAnsi="Arial" w:cs="Arial"/>
        </w:rPr>
        <w:t>B. La stratégie de différenciation</w:t>
      </w:r>
    </w:p>
    <w:p w:rsidR="001A0335" w:rsidRPr="001A0335" w:rsidRDefault="001A0335" w:rsidP="001A0335">
      <w:pPr>
        <w:pStyle w:val="TTextecourant"/>
      </w:pPr>
      <w:r w:rsidRPr="001A0335">
        <w:t>L’entreprise contourne la concurrence en proposant un produit différent de ceux de ses</w:t>
      </w:r>
      <w:r>
        <w:t xml:space="preserve"> </w:t>
      </w:r>
      <w:r w:rsidRPr="001A0335">
        <w:t>concurrents. L’effort réalisé porte sur la dimension valeur du couple coût/valeur. L’entreprise</w:t>
      </w:r>
      <w:r>
        <w:t xml:space="preserve"> </w:t>
      </w:r>
      <w:r w:rsidRPr="001A0335">
        <w:t>peut ainsi capter une clientèle à la r</w:t>
      </w:r>
      <w:r w:rsidRPr="001A0335">
        <w:t>e</w:t>
      </w:r>
      <w:r w:rsidRPr="001A0335">
        <w:t>cherche de produits ou de services «</w:t>
      </w:r>
      <w:r>
        <w:t> </w:t>
      </w:r>
      <w:r w:rsidRPr="001A0335">
        <w:t>différents</w:t>
      </w:r>
      <w:r>
        <w:t> </w:t>
      </w:r>
      <w:r w:rsidRPr="001A0335">
        <w:t>».</w:t>
      </w:r>
    </w:p>
    <w:p w:rsidR="001A0335" w:rsidRPr="001A0335" w:rsidRDefault="001A0335" w:rsidP="001A0335">
      <w:pPr>
        <w:pStyle w:val="TTextecourant"/>
      </w:pPr>
      <w:r w:rsidRPr="001A0335">
        <w:t>La modification d’une ou plusieurs caractéristiques (fonctionnalités, qualité des composants,</w:t>
      </w:r>
      <w:r>
        <w:t xml:space="preserve"> </w:t>
      </w:r>
      <w:r w:rsidRPr="001A0335">
        <w:t>image, délais, SAV…) du produit standard peut viser à</w:t>
      </w:r>
      <w:r>
        <w:t> </w:t>
      </w:r>
      <w:r w:rsidRPr="001A0335">
        <w:t>:</w:t>
      </w:r>
    </w:p>
    <w:p w:rsidR="001A0335" w:rsidRPr="001A0335" w:rsidRDefault="001A0335" w:rsidP="001A0335">
      <w:pPr>
        <w:pStyle w:val="TEnumtiret"/>
      </w:pPr>
      <w:r w:rsidRPr="001A0335">
        <w:t>accroître la valeur de l’offre standard en améliorant les caractéristiques du produit</w:t>
      </w:r>
      <w:r>
        <w:t> </w:t>
      </w:r>
      <w:r w:rsidRPr="001A0335">
        <w:t>: le</w:t>
      </w:r>
      <w:r>
        <w:t xml:space="preserve"> </w:t>
      </w:r>
      <w:r w:rsidRPr="001A0335">
        <w:t>surprix demandé au client apparaît justifié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 xml:space="preserve">épurer l’offre standard (démarche </w:t>
      </w:r>
      <w:proofErr w:type="spellStart"/>
      <w:r w:rsidRPr="001A0335">
        <w:rPr>
          <w:rStyle w:val="i"/>
        </w:rPr>
        <w:t>low</w:t>
      </w:r>
      <w:proofErr w:type="spellEnd"/>
      <w:r w:rsidRPr="001A0335">
        <w:rPr>
          <w:rStyle w:val="i"/>
        </w:rPr>
        <w:t xml:space="preserve"> </w:t>
      </w:r>
      <w:proofErr w:type="spellStart"/>
      <w:r w:rsidRPr="001A0335">
        <w:rPr>
          <w:rStyle w:val="i"/>
        </w:rPr>
        <w:t>cost</w:t>
      </w:r>
      <w:proofErr w:type="spellEnd"/>
      <w:r w:rsidRPr="001A0335">
        <w:t>) en éliminant toute caractéristique jugée</w:t>
      </w:r>
      <w:r>
        <w:t xml:space="preserve"> </w:t>
      </w:r>
      <w:r w:rsidRPr="001A0335">
        <w:t>superficielle (exemple</w:t>
      </w:r>
      <w:r>
        <w:t> </w:t>
      </w:r>
      <w:r w:rsidRPr="001A0335">
        <w:t>: un téléphone mobile qui sert avant tout à téléphoner)</w:t>
      </w:r>
      <w:r>
        <w:t> </w:t>
      </w:r>
      <w:r w:rsidRPr="001A0335">
        <w:t>: le client</w:t>
      </w:r>
      <w:r>
        <w:t xml:space="preserve"> </w:t>
      </w:r>
      <w:r w:rsidRPr="001A0335">
        <w:t>accepte une telle option en contrepartie d’un prix plus faible.</w:t>
      </w:r>
    </w:p>
    <w:p w:rsidR="001A0335" w:rsidRPr="001A0335" w:rsidRDefault="001A0335" w:rsidP="001A0335">
      <w:pPr>
        <w:pStyle w:val="TTextecourant"/>
      </w:pPr>
      <w:r w:rsidRPr="001A0335">
        <w:t>Il convient de bien cerner les attentes du client pour identifier les caractéristiques à</w:t>
      </w:r>
      <w:r>
        <w:t xml:space="preserve"> </w:t>
      </w:r>
      <w:r w:rsidRPr="001A0335">
        <w:t>modifier et de mettre en avant la différence proposée. Le risque est en effet que les</w:t>
      </w:r>
      <w:r>
        <w:t xml:space="preserve"> </w:t>
      </w:r>
      <w:r w:rsidRPr="001A0335">
        <w:t>clients ne perçoivent pas la modification apportée.</w:t>
      </w:r>
    </w:p>
    <w:p w:rsidR="001A0335" w:rsidRPr="001A0335" w:rsidRDefault="001A0335" w:rsidP="001A0335">
      <w:pPr>
        <w:pStyle w:val="TTextecourant"/>
      </w:pPr>
      <w:r w:rsidRPr="001A0335">
        <w:t>Les concurrents peuvent être tentés d’imiter les modifications opérées à moindres frais.</w:t>
      </w:r>
    </w:p>
    <w:p w:rsidR="001A0335" w:rsidRPr="00680CB9" w:rsidRDefault="001A0335" w:rsidP="00680CB9">
      <w:pPr>
        <w:pStyle w:val="04Exercicestitre"/>
        <w:spacing w:before="120"/>
        <w:rPr>
          <w:rFonts w:ascii="Arial" w:hAnsi="Arial" w:cs="Arial"/>
        </w:rPr>
      </w:pPr>
      <w:r w:rsidRPr="00680CB9">
        <w:rPr>
          <w:rFonts w:ascii="Arial" w:hAnsi="Arial" w:cs="Arial"/>
        </w:rPr>
        <w:t>C. La stratégie de domination par les coûts</w:t>
      </w:r>
    </w:p>
    <w:p w:rsidR="00842087" w:rsidRPr="001A0335" w:rsidRDefault="001A0335" w:rsidP="001A0335">
      <w:pPr>
        <w:pStyle w:val="TTextecourant"/>
      </w:pPr>
      <w:r w:rsidRPr="001A0335">
        <w:t>L’entreprise propose un produit identique à l’offre standard du marché à un prix</w:t>
      </w:r>
      <w:r>
        <w:t xml:space="preserve"> </w:t>
      </w:r>
      <w:r w:rsidRPr="001A0335">
        <w:t>moins élevé. L’effort réalisé porte sur la dimension coût du couple coût/valeur. Ce</w:t>
      </w:r>
      <w:r>
        <w:t xml:space="preserve"> </w:t>
      </w:r>
      <w:r w:rsidRPr="001A0335">
        <w:t>faisant, l’entreprise est en mesure de proposer des produits similaires à ceux de la</w:t>
      </w:r>
      <w:r>
        <w:t xml:space="preserve"> </w:t>
      </w:r>
      <w:r w:rsidRPr="001A0335">
        <w:t>concurrence mais à un prix inférieur. Elle peut ainsi accroître ses parts de marché et</w:t>
      </w:r>
      <w:r>
        <w:t xml:space="preserve"> </w:t>
      </w:r>
      <w:r w:rsidRPr="001A0335">
        <w:t>dom</w:t>
      </w:r>
      <w:r w:rsidRPr="001A0335">
        <w:t>i</w:t>
      </w:r>
      <w:r w:rsidRPr="001A0335">
        <w:t>ner le marché.</w:t>
      </w:r>
    </w:p>
    <w:p w:rsidR="001A0335" w:rsidRPr="001A0335" w:rsidRDefault="001A0335" w:rsidP="001A0335">
      <w:pPr>
        <w:pStyle w:val="TTextecourant"/>
      </w:pPr>
      <w:r w:rsidRPr="001A0335">
        <w:t>La diminution du coût des produits peut être obtenue par</w:t>
      </w:r>
      <w:r>
        <w:t> </w:t>
      </w:r>
      <w:r w:rsidRPr="001A0335">
        <w:t>:</w:t>
      </w:r>
    </w:p>
    <w:p w:rsidR="001A0335" w:rsidRPr="001A0335" w:rsidRDefault="001A0335" w:rsidP="001A0335">
      <w:pPr>
        <w:pStyle w:val="TEnumtiret"/>
      </w:pPr>
      <w:r w:rsidRPr="001A0335">
        <w:t>l’augmentation des volumes produits (effet d’expérience)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la mise en œuvre de processus innovants (standardisation de la production, nouvelle</w:t>
      </w:r>
      <w:r>
        <w:t xml:space="preserve"> </w:t>
      </w:r>
      <w:r w:rsidRPr="001A0335">
        <w:t>organisation)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l’amélioration de la structure des coûts (élimination de coûts jugés inutiles, réorganisation</w:t>
      </w:r>
      <w:r>
        <w:t xml:space="preserve"> </w:t>
      </w:r>
      <w:r w:rsidRPr="001A0335">
        <w:t>interne…).</w:t>
      </w:r>
    </w:p>
    <w:p w:rsidR="001A0335" w:rsidRPr="001A0335" w:rsidRDefault="001A0335" w:rsidP="001A0335">
      <w:pPr>
        <w:pStyle w:val="TTextecourant"/>
      </w:pPr>
      <w:r w:rsidRPr="001A0335">
        <w:t>Une telle stratégie s’applique d’abord à des marchés capables d’absorber un volume</w:t>
      </w:r>
      <w:r>
        <w:t xml:space="preserve"> </w:t>
      </w:r>
      <w:r w:rsidRPr="001A0335">
        <w:t>de produits important (ma</w:t>
      </w:r>
      <w:r w:rsidRPr="001A0335">
        <w:t>r</w:t>
      </w:r>
      <w:r w:rsidRPr="001A0335">
        <w:t>chés en phase de croissance). Elle requiert de lourds investissements</w:t>
      </w:r>
      <w:r>
        <w:t xml:space="preserve"> </w:t>
      </w:r>
      <w:r w:rsidRPr="001A0335">
        <w:t>et une démarche de recherche perpétuelle d’économies.</w:t>
      </w:r>
    </w:p>
    <w:p w:rsidR="001A0335" w:rsidRPr="001A0335" w:rsidRDefault="001A0335" w:rsidP="001A0335">
      <w:pPr>
        <w:pStyle w:val="TTextecourant"/>
      </w:pPr>
      <w:r w:rsidRPr="001A0335">
        <w:t>Elle peut s’avérer inefficace si les clients sont plus sensibles aux caractéristiques du</w:t>
      </w:r>
      <w:r>
        <w:t xml:space="preserve"> </w:t>
      </w:r>
      <w:r w:rsidRPr="001A0335">
        <w:t>produit qu’au prix payé et peut déboucher sur une guerre des prix entre concurrents.</w:t>
      </w:r>
    </w:p>
    <w:p w:rsidR="001A0335" w:rsidRPr="001A0335" w:rsidRDefault="001A0335" w:rsidP="001A0335">
      <w:pPr>
        <w:pStyle w:val="10Versepreuvetitre"/>
      </w:pPr>
      <w:r w:rsidRPr="001A0335">
        <w:t>II. Le choix d’une strat</w:t>
      </w:r>
      <w:r>
        <w:t>É</w:t>
      </w:r>
      <w:r w:rsidRPr="001A0335">
        <w:t>gie globale de d</w:t>
      </w:r>
      <w:r>
        <w:t>É</w:t>
      </w:r>
      <w:r w:rsidRPr="001A0335">
        <w:t>veloppement</w:t>
      </w:r>
    </w:p>
    <w:p w:rsidR="001A0335" w:rsidRPr="00680CB9" w:rsidRDefault="001A0335" w:rsidP="00680CB9">
      <w:pPr>
        <w:pStyle w:val="04Exercicestitre"/>
        <w:spacing w:before="240"/>
        <w:rPr>
          <w:rFonts w:ascii="Arial" w:hAnsi="Arial" w:cs="Arial"/>
        </w:rPr>
      </w:pPr>
      <w:r w:rsidRPr="00680CB9">
        <w:rPr>
          <w:rFonts w:ascii="Arial" w:hAnsi="Arial" w:cs="Arial"/>
        </w:rPr>
        <w:t>A. Se spécialiser ou se diversifier ?</w:t>
      </w:r>
    </w:p>
    <w:p w:rsidR="001A0335" w:rsidRPr="001A0335" w:rsidRDefault="001A0335" w:rsidP="001A0335">
      <w:pPr>
        <w:pStyle w:val="TTextecourant"/>
      </w:pPr>
      <w:r w:rsidRPr="001A0335">
        <w:t>Dans une optique de développement, la firme est confrontée à l’alternative suivante</w:t>
      </w:r>
      <w:r>
        <w:t> </w:t>
      </w:r>
      <w:r w:rsidRPr="001A0335">
        <w:t>:</w:t>
      </w:r>
      <w:r>
        <w:t xml:space="preserve"> </w:t>
      </w:r>
      <w:r w:rsidRPr="001A0335">
        <w:t>soit elle décide de se co</w:t>
      </w:r>
      <w:r w:rsidRPr="001A0335">
        <w:t>n</w:t>
      </w:r>
      <w:r w:rsidRPr="001A0335">
        <w:t>centrer sur un seul métier (stratégie de spécialisation), soit</w:t>
      </w:r>
      <w:r>
        <w:t xml:space="preserve"> </w:t>
      </w:r>
      <w:r w:rsidRPr="001A0335">
        <w:t>elle préfère élargir son activité à d’autres métiers (stratégie de diversification).</w:t>
      </w:r>
    </w:p>
    <w:p w:rsidR="001A0335" w:rsidRPr="00680CB9" w:rsidRDefault="001A0335" w:rsidP="00680CB9">
      <w:pPr>
        <w:pStyle w:val="04Exercicestitre"/>
        <w:spacing w:before="120"/>
        <w:rPr>
          <w:rFonts w:ascii="Arial" w:hAnsi="Arial" w:cs="Arial"/>
        </w:rPr>
      </w:pPr>
      <w:r w:rsidRPr="00680CB9">
        <w:rPr>
          <w:rFonts w:ascii="Arial" w:hAnsi="Arial" w:cs="Arial"/>
        </w:rPr>
        <w:lastRenderedPageBreak/>
        <w:t>B. La stratégie de spécialisation</w:t>
      </w:r>
    </w:p>
    <w:p w:rsidR="001A0335" w:rsidRPr="001A0335" w:rsidRDefault="001A0335" w:rsidP="001A0335">
      <w:pPr>
        <w:pStyle w:val="TTextecourant"/>
      </w:pPr>
      <w:r w:rsidRPr="001A0335">
        <w:t>La stratégie de spécialisation revient à opérer sur un seul métier. Le développement</w:t>
      </w:r>
      <w:r>
        <w:t xml:space="preserve"> </w:t>
      </w:r>
      <w:r w:rsidRPr="001A0335">
        <w:t>de la firme s’appuie sur la maîtrise parfaite d’un savoir-faire précis.</w:t>
      </w:r>
    </w:p>
    <w:p w:rsidR="001A0335" w:rsidRPr="001A0335" w:rsidRDefault="001A0335" w:rsidP="001A0335">
      <w:pPr>
        <w:pStyle w:val="TTextecourant"/>
      </w:pPr>
      <w:r w:rsidRPr="001A0335">
        <w:t>L’entreprise concentre l’ensemble de ses ressources (humaines, technologiques,</w:t>
      </w:r>
      <w:r>
        <w:t xml:space="preserve"> </w:t>
      </w:r>
      <w:r w:rsidRPr="001A0335">
        <w:t>financières…) sur un savoir-faire. Elle se positionne comme experte sur ses marchés et</w:t>
      </w:r>
      <w:r>
        <w:t xml:space="preserve"> </w:t>
      </w:r>
      <w:r w:rsidRPr="001A0335">
        <w:t>peut ainsi faire valoir une image d’excellence (pr</w:t>
      </w:r>
      <w:r w:rsidRPr="001A0335">
        <w:t>o</w:t>
      </w:r>
      <w:r w:rsidRPr="001A0335">
        <w:t>duits novateurs, qualité…).</w:t>
      </w:r>
    </w:p>
    <w:p w:rsidR="001A0335" w:rsidRPr="001A0335" w:rsidRDefault="001A0335" w:rsidP="001A0335">
      <w:pPr>
        <w:pStyle w:val="TTextecourant"/>
      </w:pPr>
      <w:r w:rsidRPr="001A0335">
        <w:t>Le domaine d’activité doit être en phase de croissance. Les compétences et les technologies</w:t>
      </w:r>
      <w:r>
        <w:t xml:space="preserve"> </w:t>
      </w:r>
      <w:r w:rsidRPr="001A0335">
        <w:t>mises en œuvre doivent être parfaitement dominées et mises à jour. Mais</w:t>
      </w:r>
      <w:r>
        <w:t xml:space="preserve"> </w:t>
      </w:r>
      <w:r w:rsidRPr="001A0335">
        <w:t>l’entreprise reste vulnérable aux aléas conjoncturels et aux ruptures technologiques.</w:t>
      </w:r>
    </w:p>
    <w:p w:rsidR="001A0335" w:rsidRPr="00680CB9" w:rsidRDefault="001A0335" w:rsidP="00680CB9">
      <w:pPr>
        <w:pStyle w:val="04Exercicestitre"/>
        <w:spacing w:before="120"/>
        <w:rPr>
          <w:rFonts w:ascii="Arial" w:hAnsi="Arial" w:cs="Arial"/>
        </w:rPr>
      </w:pPr>
      <w:r w:rsidRPr="00680CB9">
        <w:rPr>
          <w:rFonts w:ascii="Arial" w:hAnsi="Arial" w:cs="Arial"/>
        </w:rPr>
        <w:t>C. La stratégie de diversification</w:t>
      </w:r>
    </w:p>
    <w:p w:rsidR="001A0335" w:rsidRPr="001A0335" w:rsidRDefault="001A0335" w:rsidP="001A0335">
      <w:pPr>
        <w:pStyle w:val="TTextecourant"/>
      </w:pPr>
      <w:r w:rsidRPr="001A0335">
        <w:t>La stratégie de diversification consiste à concilier des métiers différents. Le développement</w:t>
      </w:r>
      <w:r>
        <w:t xml:space="preserve"> </w:t>
      </w:r>
      <w:r w:rsidRPr="001A0335">
        <w:t>de l’entreprise est fondé sur l’extension de son savoir-faire. La firme peut</w:t>
      </w:r>
      <w:r>
        <w:t xml:space="preserve"> </w:t>
      </w:r>
      <w:r w:rsidRPr="001A0335">
        <w:t>ainsi faire fructifier un surplus de ressources, faire jouer des synergies porteuses entre</w:t>
      </w:r>
      <w:r>
        <w:t xml:space="preserve"> </w:t>
      </w:r>
      <w:r w:rsidRPr="001A0335">
        <w:t>métiers ou encore faire face à l’érosion de la spécialisation.</w:t>
      </w:r>
    </w:p>
    <w:p w:rsidR="001A0335" w:rsidRPr="001A0335" w:rsidRDefault="001A0335" w:rsidP="001A0335">
      <w:pPr>
        <w:pStyle w:val="TTextecourant"/>
      </w:pPr>
      <w:r w:rsidRPr="001A0335">
        <w:t>L’entreprise peut opter pour une diversification</w:t>
      </w:r>
      <w:r>
        <w:t> </w:t>
      </w:r>
      <w:r w:rsidRPr="001A0335">
        <w:t>:</w:t>
      </w:r>
    </w:p>
    <w:p w:rsidR="001A0335" w:rsidRPr="001A0335" w:rsidRDefault="001A0335" w:rsidP="001A0335">
      <w:pPr>
        <w:pStyle w:val="TEnumtiret"/>
      </w:pPr>
      <w:r w:rsidRPr="001A0335">
        <w:t>concentrique (ou liée)</w:t>
      </w:r>
      <w:r>
        <w:t> </w:t>
      </w:r>
      <w:r w:rsidRPr="001A0335">
        <w:t>: les activités exploitées font appel à des savoir-faire différents</w:t>
      </w:r>
      <w:r>
        <w:t xml:space="preserve"> </w:t>
      </w:r>
      <w:r w:rsidRPr="001A0335">
        <w:t>mais proches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conglomérale (ou non liée)</w:t>
      </w:r>
      <w:r>
        <w:t> </w:t>
      </w:r>
      <w:r w:rsidRPr="001A0335">
        <w:t>: il existe peu de rapport entre les savoir-faire développés.</w:t>
      </w:r>
    </w:p>
    <w:p w:rsidR="001A0335" w:rsidRPr="001A0335" w:rsidRDefault="001A0335" w:rsidP="001A0335">
      <w:pPr>
        <w:pStyle w:val="TTextecourant"/>
      </w:pPr>
      <w:r w:rsidRPr="001A0335">
        <w:t>Bien évaluer l’intérêt d’une diversification est crucial. L’activité nouvellement développée</w:t>
      </w:r>
      <w:r>
        <w:t xml:space="preserve"> </w:t>
      </w:r>
      <w:r w:rsidRPr="001A0335">
        <w:t>doit s’intégrer au po</w:t>
      </w:r>
      <w:r w:rsidRPr="001A0335">
        <w:t>r</w:t>
      </w:r>
      <w:r w:rsidRPr="001A0335">
        <w:t>tefeuille existant sous peine de rendre le nouvel ensemble</w:t>
      </w:r>
      <w:r>
        <w:t xml:space="preserve"> </w:t>
      </w:r>
      <w:r w:rsidRPr="001A0335">
        <w:t>ingérable et/ou confus aux yeux des clients et des i</w:t>
      </w:r>
      <w:r w:rsidRPr="001A0335">
        <w:t>n</w:t>
      </w:r>
      <w:r w:rsidRPr="001A0335">
        <w:t>vestisseurs. Le choix d’un retour</w:t>
      </w:r>
      <w:r>
        <w:t xml:space="preserve"> </w:t>
      </w:r>
      <w:r w:rsidRPr="001A0335">
        <w:t xml:space="preserve">en arrière, en délaissant certains domaines d’activité pour se </w:t>
      </w:r>
      <w:proofErr w:type="spellStart"/>
      <w:r w:rsidRPr="001A0335">
        <w:t>respécialiser</w:t>
      </w:r>
      <w:proofErr w:type="spellEnd"/>
      <w:r w:rsidRPr="001A0335">
        <w:t xml:space="preserve"> (= recentrage)</w:t>
      </w:r>
      <w:r>
        <w:t xml:space="preserve"> </w:t>
      </w:r>
      <w:r w:rsidRPr="001A0335">
        <w:t>sur un ou quelques métiers, est alors une optique à envisager.</w:t>
      </w:r>
    </w:p>
    <w:p w:rsidR="001A0335" w:rsidRPr="001A0335" w:rsidRDefault="001A0335" w:rsidP="001A0335">
      <w:pPr>
        <w:pStyle w:val="10Versepreuvetitre"/>
      </w:pPr>
      <w:r w:rsidRPr="001A0335">
        <w:t>III. Le choix d’une position sur la fili</w:t>
      </w:r>
      <w:r>
        <w:t>È</w:t>
      </w:r>
      <w:r w:rsidRPr="001A0335">
        <w:t>re</w:t>
      </w:r>
    </w:p>
    <w:p w:rsidR="001A0335" w:rsidRPr="00680CB9" w:rsidRDefault="001A0335" w:rsidP="00680CB9">
      <w:pPr>
        <w:pStyle w:val="04Exercicestitre"/>
        <w:spacing w:before="120"/>
        <w:rPr>
          <w:rFonts w:ascii="Arial" w:hAnsi="Arial" w:cs="Arial"/>
        </w:rPr>
      </w:pPr>
      <w:r w:rsidRPr="00680CB9">
        <w:rPr>
          <w:rFonts w:ascii="Arial" w:hAnsi="Arial" w:cs="Arial"/>
        </w:rPr>
        <w:t>A. L’intégration</w:t>
      </w:r>
    </w:p>
    <w:p w:rsidR="001A0335" w:rsidRPr="001A0335" w:rsidRDefault="001A0335" w:rsidP="001A0335">
      <w:pPr>
        <w:pStyle w:val="TTextecourant"/>
      </w:pPr>
      <w:r w:rsidRPr="001A0335">
        <w:t>L’entreprise étend son périmètre d’action en amont et/ou en aval de son activité</w:t>
      </w:r>
      <w:r>
        <w:t xml:space="preserve"> </w:t>
      </w:r>
      <w:r w:rsidRPr="001A0335">
        <w:t>d’origine, le long de sa filière économique.</w:t>
      </w:r>
    </w:p>
    <w:p w:rsidR="001A0335" w:rsidRPr="001A0335" w:rsidRDefault="001A0335" w:rsidP="001A0335">
      <w:pPr>
        <w:pStyle w:val="TTextecourant"/>
      </w:pPr>
      <w:r w:rsidRPr="001A0335">
        <w:t>L’intégration peut se faire dans une optique de</w:t>
      </w:r>
      <w:r>
        <w:t> </w:t>
      </w:r>
      <w:r w:rsidRPr="001A0335">
        <w:t>:</w:t>
      </w:r>
    </w:p>
    <w:p w:rsidR="001A0335" w:rsidRPr="001A0335" w:rsidRDefault="001A0335" w:rsidP="001A0335">
      <w:pPr>
        <w:pStyle w:val="TEnumtiret"/>
      </w:pPr>
      <w:r w:rsidRPr="001A0335">
        <w:t>maîtrise technologique</w:t>
      </w:r>
      <w:r>
        <w:t> </w:t>
      </w:r>
      <w:r w:rsidRPr="001A0335">
        <w:t>: dominer pleinement l’ensemble des savoir-faire mis en</w:t>
      </w:r>
      <w:r>
        <w:t xml:space="preserve"> </w:t>
      </w:r>
      <w:r w:rsidRPr="001A0335">
        <w:t>œuvre sur la filière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rentabilité</w:t>
      </w:r>
      <w:r>
        <w:t> </w:t>
      </w:r>
      <w:r w:rsidRPr="001A0335">
        <w:t>: capter la valeur ajoutée répartie sur la filière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sécurité</w:t>
      </w:r>
      <w:r>
        <w:t> </w:t>
      </w:r>
      <w:r w:rsidRPr="001A0335">
        <w:t>: contrôler les approvisionnements (qualité, délais…) et/ou assurer ses</w:t>
      </w:r>
      <w:r>
        <w:t xml:space="preserve"> </w:t>
      </w:r>
      <w:r w:rsidRPr="001A0335">
        <w:t>débouchés commerciaux.</w:t>
      </w:r>
    </w:p>
    <w:p w:rsidR="001A0335" w:rsidRPr="001A0335" w:rsidRDefault="001A0335" w:rsidP="001A0335">
      <w:pPr>
        <w:pStyle w:val="TTextecourant"/>
      </w:pPr>
      <w:r w:rsidRPr="001A0335">
        <w:t>On distingue</w:t>
      </w:r>
      <w:r>
        <w:t> </w:t>
      </w:r>
      <w:r w:rsidRPr="001A0335">
        <w:t>:</w:t>
      </w:r>
    </w:p>
    <w:p w:rsidR="001A0335" w:rsidRPr="001A0335" w:rsidRDefault="001A0335" w:rsidP="001A0335">
      <w:pPr>
        <w:pStyle w:val="TEnumtiret"/>
      </w:pPr>
      <w:r w:rsidRPr="001A0335">
        <w:t>l’intégration amont</w:t>
      </w:r>
      <w:r>
        <w:t> </w:t>
      </w:r>
      <w:r w:rsidRPr="001A0335">
        <w:t>: la firme devient son propre fournisseur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l’intégration aval</w:t>
      </w:r>
      <w:r>
        <w:t> </w:t>
      </w:r>
      <w:r w:rsidRPr="001A0335">
        <w:t>: la firme devient son propre client.</w:t>
      </w:r>
    </w:p>
    <w:p w:rsidR="001A0335" w:rsidRPr="001A0335" w:rsidRDefault="001A0335" w:rsidP="001A0335">
      <w:pPr>
        <w:pStyle w:val="TTextecourant"/>
      </w:pPr>
      <w:r w:rsidRPr="001A0335">
        <w:t>L’intégration verticale se traduit souvent par l’appropriation d’activités exercées</w:t>
      </w:r>
      <w:r>
        <w:t xml:space="preserve"> </w:t>
      </w:r>
      <w:r w:rsidRPr="001A0335">
        <w:t>auparavant par des fournisseurs, en amont, et par des clients, en aval.</w:t>
      </w:r>
    </w:p>
    <w:p w:rsidR="001A0335" w:rsidRPr="001A0335" w:rsidRDefault="001A0335" w:rsidP="001A0335">
      <w:pPr>
        <w:pStyle w:val="TTextecourant"/>
      </w:pPr>
      <w:r w:rsidRPr="001A0335">
        <w:t>L’entreprise devra maîtriser de nouvelles compétences relatives aux activités intégrées.</w:t>
      </w:r>
    </w:p>
    <w:p w:rsidR="001A0335" w:rsidRPr="001A0335" w:rsidRDefault="001A0335" w:rsidP="001A0335">
      <w:pPr>
        <w:pStyle w:val="TTextecourant"/>
      </w:pPr>
      <w:r w:rsidRPr="001A0335">
        <w:t>La coordination de l’ensemble des activités est essentielle. Les rigidités créées</w:t>
      </w:r>
      <w:r>
        <w:t xml:space="preserve"> </w:t>
      </w:r>
      <w:r w:rsidRPr="001A0335">
        <w:t>rendent la firme plus sensible aux risques conjoncturels (activité cyclique, changements</w:t>
      </w:r>
      <w:r>
        <w:t xml:space="preserve"> </w:t>
      </w:r>
      <w:r w:rsidRPr="001A0335">
        <w:t>technologiques…). Une «</w:t>
      </w:r>
      <w:r>
        <w:t> </w:t>
      </w:r>
      <w:proofErr w:type="spellStart"/>
      <w:r w:rsidRPr="001A0335">
        <w:t>dé-intégration</w:t>
      </w:r>
      <w:proofErr w:type="spellEnd"/>
      <w:r>
        <w:t> </w:t>
      </w:r>
      <w:r w:rsidRPr="001A0335">
        <w:t>», marquant ainsi un retour en arrière,</w:t>
      </w:r>
      <w:r>
        <w:t xml:space="preserve"> </w:t>
      </w:r>
      <w:r w:rsidRPr="001A0335">
        <w:t>est toujours envisageable.</w:t>
      </w:r>
    </w:p>
    <w:p w:rsidR="001A0335" w:rsidRPr="00680CB9" w:rsidRDefault="001A0335" w:rsidP="00680CB9">
      <w:pPr>
        <w:pStyle w:val="04Exercicestitre"/>
        <w:spacing w:before="240"/>
        <w:rPr>
          <w:rFonts w:ascii="Arial" w:hAnsi="Arial" w:cs="Arial"/>
        </w:rPr>
      </w:pPr>
      <w:r w:rsidRPr="00680CB9">
        <w:rPr>
          <w:rFonts w:ascii="Arial" w:hAnsi="Arial" w:cs="Arial"/>
        </w:rPr>
        <w:t>B. L’externalisation</w:t>
      </w:r>
    </w:p>
    <w:p w:rsidR="001A0335" w:rsidRPr="001A0335" w:rsidRDefault="001A0335" w:rsidP="001A0335">
      <w:pPr>
        <w:pStyle w:val="TTextecourant"/>
      </w:pPr>
      <w:r w:rsidRPr="001A0335">
        <w:t>L’entreprise confie à un prestataire extérieur le soin de réaliser certaines activités ou</w:t>
      </w:r>
      <w:r>
        <w:t xml:space="preserve"> </w:t>
      </w:r>
      <w:r w:rsidRPr="001A0335">
        <w:t>fonctions afin de concentrer ses ressources humaines, techniques et financières sur</w:t>
      </w:r>
      <w:r>
        <w:t xml:space="preserve"> </w:t>
      </w:r>
      <w:r w:rsidRPr="001A0335">
        <w:t>son cœur de métier.</w:t>
      </w:r>
    </w:p>
    <w:p w:rsidR="001A0335" w:rsidRPr="001A0335" w:rsidRDefault="001A0335" w:rsidP="001A0335">
      <w:pPr>
        <w:pStyle w:val="TTextecourant"/>
      </w:pPr>
      <w:r w:rsidRPr="001A0335">
        <w:t>L’entreprise peut choisir d’externaliser une activité pour différentes raisons</w:t>
      </w:r>
      <w:r>
        <w:t> </w:t>
      </w:r>
      <w:r w:rsidRPr="001A0335">
        <w:t>:</w:t>
      </w:r>
    </w:p>
    <w:p w:rsidR="001A0335" w:rsidRPr="001A0335" w:rsidRDefault="001A0335" w:rsidP="001A0335">
      <w:pPr>
        <w:pStyle w:val="TEnumtiret"/>
      </w:pPr>
      <w:r w:rsidRPr="001A0335">
        <w:t>recourir à un prestataire extérieur est moins coûteux que réaliser l’activité considérée</w:t>
      </w:r>
      <w:r>
        <w:t xml:space="preserve"> </w:t>
      </w:r>
      <w:r w:rsidRPr="001A0335">
        <w:t>en interne (coûts de réal</w:t>
      </w:r>
      <w:r w:rsidRPr="001A0335">
        <w:t>i</w:t>
      </w:r>
      <w:r w:rsidRPr="001A0335">
        <w:t>sation, coûts d’organisation, coûts de sous-activité…)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faire appel à un spécialiste permet d’obtenir une qualité supérieure</w:t>
      </w:r>
      <w:r>
        <w:t> </w:t>
      </w:r>
      <w:r w:rsidRPr="001A0335">
        <w:t>;</w:t>
      </w:r>
    </w:p>
    <w:p w:rsidR="001A0335" w:rsidRPr="001A0335" w:rsidRDefault="001A0335" w:rsidP="001A0335">
      <w:pPr>
        <w:pStyle w:val="TEnumtiret"/>
      </w:pPr>
      <w:r w:rsidRPr="001A0335">
        <w:t>rompre une relation contractuelle est plus aisé que céder une activité.</w:t>
      </w:r>
    </w:p>
    <w:p w:rsidR="001A0335" w:rsidRPr="001A0335" w:rsidRDefault="001A0335" w:rsidP="001A0335">
      <w:pPr>
        <w:pStyle w:val="TTextecourant"/>
      </w:pPr>
      <w:r w:rsidRPr="001A0335">
        <w:t>Le risque de perte d’un savoir-faire, qui pourrait devenir stratégique par la suite, est</w:t>
      </w:r>
      <w:r>
        <w:t xml:space="preserve"> </w:t>
      </w:r>
      <w:r w:rsidRPr="001A0335">
        <w:t>réel. L’externalisation est par ailleurs source de dépendance à l’égard des clients et/ou des fournisseurs (délais, qualité, coûts…). Enfin, l’externalisation entraîne des coûts</w:t>
      </w:r>
      <w:r>
        <w:t xml:space="preserve"> </w:t>
      </w:r>
      <w:r w:rsidRPr="001A0335">
        <w:t>sociaux (transfert de personnel) non négligeables.</w:t>
      </w:r>
    </w:p>
    <w:sectPr w:rsidR="001A0335" w:rsidRPr="001A0335" w:rsidSect="00401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FD" w:rsidRDefault="00233FFD" w:rsidP="004016EA">
      <w:r>
        <w:separator/>
      </w:r>
    </w:p>
  </w:endnote>
  <w:endnote w:type="continuationSeparator" w:id="0">
    <w:p w:rsidR="00233FFD" w:rsidRDefault="00233FFD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Pr="004016EA" w:rsidRDefault="004B58F3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01148C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4B58F3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4B58F3">
      <w:rPr>
        <w:rStyle w:val="Folio"/>
      </w:rPr>
      <w:fldChar w:fldCharType="separate"/>
    </w:r>
    <w:r w:rsidR="0001148C">
      <w:rPr>
        <w:rStyle w:val="Folio"/>
        <w:noProof/>
      </w:rPr>
      <w:t>1</w:t>
    </w:r>
    <w:r w:rsidR="004B58F3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FD" w:rsidRDefault="00233FFD" w:rsidP="004016EA">
      <w:r>
        <w:separator/>
      </w:r>
    </w:p>
  </w:footnote>
  <w:footnote w:type="continuationSeparator" w:id="0">
    <w:p w:rsidR="00233FFD" w:rsidRDefault="00233FFD" w:rsidP="0040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20AE"/>
    <w:rsid w:val="0001148C"/>
    <w:rsid w:val="000200B9"/>
    <w:rsid w:val="00051CC9"/>
    <w:rsid w:val="00054C34"/>
    <w:rsid w:val="000876E2"/>
    <w:rsid w:val="000A31BA"/>
    <w:rsid w:val="000A66E0"/>
    <w:rsid w:val="00151A6E"/>
    <w:rsid w:val="00152A45"/>
    <w:rsid w:val="001A0335"/>
    <w:rsid w:val="001A0B80"/>
    <w:rsid w:val="00233FFD"/>
    <w:rsid w:val="0024646B"/>
    <w:rsid w:val="0030498C"/>
    <w:rsid w:val="00324F73"/>
    <w:rsid w:val="00394FED"/>
    <w:rsid w:val="003A6641"/>
    <w:rsid w:val="004016EA"/>
    <w:rsid w:val="004648C3"/>
    <w:rsid w:val="004A1FB0"/>
    <w:rsid w:val="004B58F3"/>
    <w:rsid w:val="004E20A9"/>
    <w:rsid w:val="004E2AD9"/>
    <w:rsid w:val="005E6FB7"/>
    <w:rsid w:val="00680CB9"/>
    <w:rsid w:val="006B172B"/>
    <w:rsid w:val="006B7D00"/>
    <w:rsid w:val="006C0120"/>
    <w:rsid w:val="00722537"/>
    <w:rsid w:val="00757BA2"/>
    <w:rsid w:val="007763D4"/>
    <w:rsid w:val="0079080C"/>
    <w:rsid w:val="007E2576"/>
    <w:rsid w:val="00806FB8"/>
    <w:rsid w:val="00810809"/>
    <w:rsid w:val="008120AE"/>
    <w:rsid w:val="00842087"/>
    <w:rsid w:val="008554DD"/>
    <w:rsid w:val="009215F2"/>
    <w:rsid w:val="00925D90"/>
    <w:rsid w:val="009C3943"/>
    <w:rsid w:val="009C7BAC"/>
    <w:rsid w:val="00A92300"/>
    <w:rsid w:val="00A97F8C"/>
    <w:rsid w:val="00AD6532"/>
    <w:rsid w:val="00B81F3B"/>
    <w:rsid w:val="00BD34C9"/>
    <w:rsid w:val="00BF47D4"/>
    <w:rsid w:val="00C02E8D"/>
    <w:rsid w:val="00C20988"/>
    <w:rsid w:val="00C859AF"/>
    <w:rsid w:val="00CF04A9"/>
    <w:rsid w:val="00CF17D4"/>
    <w:rsid w:val="00D1160A"/>
    <w:rsid w:val="00EE26B7"/>
    <w:rsid w:val="00EE3A58"/>
    <w:rsid w:val="00F030C4"/>
    <w:rsid w:val="00F10B65"/>
    <w:rsid w:val="00F45FE9"/>
    <w:rsid w:val="00F66296"/>
    <w:rsid w:val="00F80B95"/>
    <w:rsid w:val="00FD274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AF9E-4F01-40C8-A8A6-3BD095D6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10</TotalTime>
  <Pages>2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ECOFFIN</dc:creator>
  <cp:keywords/>
  <dc:description/>
  <cp:lastModifiedBy>FMZ-vsl</cp:lastModifiedBy>
  <cp:revision>4</cp:revision>
  <cp:lastPrinted>2011-10-07T12:04:00Z</cp:lastPrinted>
  <dcterms:created xsi:type="dcterms:W3CDTF">2013-08-27T08:39:00Z</dcterms:created>
  <dcterms:modified xsi:type="dcterms:W3CDTF">2016-08-30T20:04:00Z</dcterms:modified>
</cp:coreProperties>
</file>