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341189A5" w14:textId="77777777" w:rsidR="003C0D7B" w:rsidRDefault="00601F47">
      <w:r>
        <w:rPr>
          <w:noProof/>
        </w:rPr>
        <w:pict w14:anchorId="2E76F6A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594.6pt;margin-top:0;width:199.85pt;height:40.9pt;z-index:251661312;mso-position-horizontal:right;mso-position-horizontal-relative:margin;mso-position-vertical:top;mso-position-vertical-relative:margin">
            <v:imagedata r:id="rId8" o:title="droit"/>
            <w10:wrap type="square" anchorx="margin" anchory="margin"/>
          </v:shape>
        </w:pict>
      </w:r>
      <w:r>
        <w:rPr>
          <w:noProof/>
        </w:rPr>
        <w:pict w14:anchorId="24E11659">
          <v:shape id="_x0000_s1026" type="#_x0000_t75" style="position:absolute;margin-left:0;margin-top:0;width:184.25pt;height:40.8pt;z-index:251659264;mso-position-horizontal:left;mso-position-horizontal-relative:margin;mso-position-vertical:top;mso-position-vertical-relative:margin;mso-width-relative:page;mso-height-relative:page">
            <v:imagedata r:id="rId9" o:title="essentiel" croptop="7723f"/>
            <w10:wrap type="square" anchorx="margin" anchory="margin"/>
          </v:shape>
        </w:pict>
      </w:r>
    </w:p>
    <w:p w14:paraId="1FDA4E5E" w14:textId="77777777" w:rsidR="003C0D7B" w:rsidRDefault="003C0D7B"/>
    <w:p w14:paraId="14FD344F" w14:textId="77777777" w:rsidR="00FA49B2" w:rsidRDefault="00FA49B2" w:rsidP="00FA49B2">
      <w:pPr>
        <w:pStyle w:val="Titre1"/>
      </w:pPr>
    </w:p>
    <w:p w14:paraId="50CC6B1A" w14:textId="77777777" w:rsidR="00FA49B2" w:rsidRPr="00FA49B2" w:rsidRDefault="00FA49B2" w:rsidP="00FA49B2">
      <w:pPr>
        <w:pStyle w:val="Titre1"/>
      </w:pPr>
      <w:r w:rsidRPr="00FA49B2">
        <w:t xml:space="preserve">Chapitre </w:t>
      </w:r>
      <w:r w:rsidR="00D92AFA">
        <w:t>11</w:t>
      </w:r>
      <w:r w:rsidRPr="00FA49B2">
        <w:t xml:space="preserve"> : </w:t>
      </w:r>
      <w:r w:rsidR="00D92AFA">
        <w:t>Le respect de la concurrence</w:t>
      </w:r>
    </w:p>
    <w:p w14:paraId="4D35AB52" w14:textId="77777777" w:rsidR="00FA49B2" w:rsidRPr="00FA49B2" w:rsidRDefault="00D92AFA" w:rsidP="00FA49B2">
      <w:pPr>
        <w:pStyle w:val="Titre2"/>
      </w:pPr>
      <w:r>
        <w:t>Liberté du commerce et droit de la concurrence</w:t>
      </w:r>
    </w:p>
    <w:p w14:paraId="1EFA51B1" w14:textId="408EC5C6" w:rsidR="00D92AFA" w:rsidRPr="00D92AFA" w:rsidRDefault="00D92AFA" w:rsidP="00D92AFA">
      <w:pPr>
        <w:pStyle w:val="04Titre"/>
        <w:jc w:val="both"/>
        <w:rPr>
          <w:rFonts w:eastAsia="NewBaskervilleStd-Roman" w:cs="Arial"/>
          <w:b w:val="0"/>
          <w:sz w:val="22"/>
          <w:szCs w:val="22"/>
        </w:rPr>
      </w:pPr>
      <w:r w:rsidRPr="00D92AFA">
        <w:rPr>
          <w:rFonts w:cs="Arial"/>
          <w:sz w:val="22"/>
          <w:szCs w:val="22"/>
        </w:rPr>
        <w:t>Le principe de la liberté du commerce et de l’industrie</w:t>
      </w:r>
      <w:r w:rsidR="00601F47">
        <w:rPr>
          <w:rFonts w:cs="Arial"/>
          <w:sz w:val="22"/>
          <w:szCs w:val="22"/>
        </w:rPr>
        <w:t xml:space="preserve"> (LCI)</w:t>
      </w:r>
      <w:r w:rsidRPr="00D92AFA">
        <w:rPr>
          <w:rFonts w:cs="Arial"/>
          <w:sz w:val="22"/>
          <w:szCs w:val="22"/>
        </w:rPr>
        <w:t xml:space="preserve"> </w:t>
      </w:r>
      <w:r w:rsidRPr="00D92AFA">
        <w:rPr>
          <w:rFonts w:eastAsia="NewBaskervilleStd-Roman" w:cs="Arial"/>
          <w:b w:val="0"/>
          <w:sz w:val="22"/>
          <w:szCs w:val="22"/>
        </w:rPr>
        <w:t>prend sa source dans deux décrets : les décrets d’Allarde des 2 et 17</w:t>
      </w:r>
      <w:r w:rsidR="00601F47">
        <w:rPr>
          <w:rFonts w:eastAsia="NewBaskervilleStd-Roman" w:cs="Arial"/>
          <w:b w:val="0"/>
          <w:sz w:val="22"/>
          <w:szCs w:val="22"/>
        </w:rPr>
        <w:t> </w:t>
      </w:r>
      <w:r w:rsidRPr="00D92AFA">
        <w:rPr>
          <w:rFonts w:eastAsia="NewBaskervilleStd-Roman" w:cs="Arial"/>
          <w:b w:val="0"/>
          <w:sz w:val="22"/>
          <w:szCs w:val="22"/>
        </w:rPr>
        <w:t>mars 1791. Il a été consacré, par le Conseil d’État, en tant que principe général du droit applicable même sans texte. Ce principe a pris valeur constitutionnelle suite à une décision du Conseil constitutionnel du 16</w:t>
      </w:r>
      <w:r w:rsidR="00601F47">
        <w:rPr>
          <w:rFonts w:eastAsia="NewBaskervilleStd-Roman" w:cs="Arial"/>
          <w:b w:val="0"/>
          <w:sz w:val="22"/>
          <w:szCs w:val="22"/>
        </w:rPr>
        <w:t> </w:t>
      </w:r>
      <w:r w:rsidRPr="00D92AFA">
        <w:rPr>
          <w:rFonts w:eastAsia="NewBaskervilleStd-Roman" w:cs="Arial"/>
          <w:b w:val="0"/>
          <w:sz w:val="22"/>
          <w:szCs w:val="22"/>
        </w:rPr>
        <w:t>janvier 1982.</w:t>
      </w:r>
    </w:p>
    <w:p w14:paraId="041CB22B" w14:textId="77777777" w:rsidR="00D92AFA" w:rsidRPr="00D92AFA" w:rsidRDefault="00D92AFA" w:rsidP="00D92AFA">
      <w:pPr>
        <w:pStyle w:val="03NotionTxt"/>
        <w:rPr>
          <w:rFonts w:cs="Arial"/>
        </w:rPr>
      </w:pPr>
      <w:r w:rsidRPr="00D92AFA">
        <w:rPr>
          <w:rFonts w:cs="Arial"/>
        </w:rPr>
        <w:t>Le principe de la liberté du commerce et de l’industrie sous-tend trois autres principes :</w:t>
      </w:r>
    </w:p>
    <w:p w14:paraId="5BEBDE4E" w14:textId="2668E48C" w:rsidR="00D92AFA" w:rsidRPr="00D92AFA" w:rsidRDefault="00D92AFA" w:rsidP="00601F47">
      <w:pPr>
        <w:pStyle w:val="03NotionTxt"/>
        <w:numPr>
          <w:ilvl w:val="0"/>
          <w:numId w:val="5"/>
        </w:numPr>
        <w:rPr>
          <w:rFonts w:cs="Arial"/>
        </w:rPr>
      </w:pPr>
      <w:r w:rsidRPr="00D92AFA">
        <w:rPr>
          <w:rFonts w:cs="Arial"/>
        </w:rPr>
        <w:t xml:space="preserve">la </w:t>
      </w:r>
      <w:r w:rsidRPr="00D92AFA">
        <w:rPr>
          <w:rFonts w:eastAsia="NewBaskerville-Bold" w:cs="Arial"/>
          <w:b/>
          <w:bCs/>
        </w:rPr>
        <w:t>liberté d’entreprendre </w:t>
      </w:r>
      <w:r w:rsidRPr="00D92AFA">
        <w:rPr>
          <w:rFonts w:cs="Arial"/>
        </w:rPr>
        <w:t>: liberté d’accéder et d’exercer librement toute profession et toute activité économique de son choix ;</w:t>
      </w:r>
    </w:p>
    <w:p w14:paraId="02BC4981" w14:textId="65E79511" w:rsidR="00D92AFA" w:rsidRPr="00D92AFA" w:rsidRDefault="00D92AFA" w:rsidP="00601F47">
      <w:pPr>
        <w:pStyle w:val="03NotionTxt"/>
        <w:numPr>
          <w:ilvl w:val="0"/>
          <w:numId w:val="5"/>
        </w:numPr>
        <w:rPr>
          <w:rFonts w:cs="Arial"/>
        </w:rPr>
      </w:pPr>
      <w:r w:rsidRPr="00D92AFA">
        <w:rPr>
          <w:rFonts w:cs="Arial"/>
        </w:rPr>
        <w:t xml:space="preserve">la </w:t>
      </w:r>
      <w:r w:rsidRPr="00D92AFA">
        <w:rPr>
          <w:rFonts w:eastAsia="NewBaskerville-Bold" w:cs="Arial"/>
          <w:b/>
          <w:bCs/>
        </w:rPr>
        <w:t>liberté d’exploiter </w:t>
      </w:r>
      <w:r w:rsidRPr="00D92AFA">
        <w:rPr>
          <w:rFonts w:cs="Arial"/>
        </w:rPr>
        <w:t>: liberté qui permet à l’entrepreneur de choisir sa stratégie commerciale, ses partenaires… ;</w:t>
      </w:r>
    </w:p>
    <w:p w14:paraId="0C5C9450" w14:textId="004EA00C" w:rsidR="00D92AFA" w:rsidRPr="00D92AFA" w:rsidRDefault="00D92AFA" w:rsidP="00601F47">
      <w:pPr>
        <w:pStyle w:val="03NotionTxt"/>
        <w:numPr>
          <w:ilvl w:val="0"/>
          <w:numId w:val="5"/>
        </w:numPr>
        <w:rPr>
          <w:rFonts w:cs="Arial"/>
        </w:rPr>
      </w:pPr>
      <w:r w:rsidRPr="00D92AFA">
        <w:rPr>
          <w:rFonts w:cs="Arial"/>
        </w:rPr>
        <w:t xml:space="preserve">la </w:t>
      </w:r>
      <w:r w:rsidRPr="00D92AFA">
        <w:rPr>
          <w:rFonts w:eastAsia="NewBaskerville-Bold" w:cs="Arial"/>
          <w:b/>
          <w:bCs/>
        </w:rPr>
        <w:t>libre concurrence </w:t>
      </w:r>
      <w:r w:rsidRPr="00D92AFA">
        <w:rPr>
          <w:rFonts w:cs="Arial"/>
        </w:rPr>
        <w:t>: liberté d’utiliser les moyens de son choix pour capter la clientèle tout en respectant une certaine éthique.</w:t>
      </w:r>
    </w:p>
    <w:p w14:paraId="56B26840" w14:textId="77777777" w:rsidR="003C0D7B" w:rsidRDefault="00D92AFA" w:rsidP="00D92AFA">
      <w:pPr>
        <w:spacing w:after="0"/>
        <w:jc w:val="both"/>
        <w:rPr>
          <w:rFonts w:ascii="Arial" w:hAnsi="Arial" w:cs="Arial"/>
        </w:rPr>
      </w:pPr>
      <w:r w:rsidRPr="00D92AFA">
        <w:rPr>
          <w:rFonts w:ascii="Arial" w:hAnsi="Arial" w:cs="Arial"/>
        </w:rPr>
        <w:t>La LCI est une règle fondamentale de notre système économique.</w:t>
      </w:r>
    </w:p>
    <w:p w14:paraId="15565003" w14:textId="77777777" w:rsidR="00D92AFA" w:rsidRDefault="00D92AFA" w:rsidP="00D92AFA">
      <w:pPr>
        <w:spacing w:after="0"/>
        <w:jc w:val="both"/>
        <w:rPr>
          <w:rFonts w:ascii="Arial" w:hAnsi="Arial" w:cs="Arial"/>
        </w:rPr>
      </w:pPr>
    </w:p>
    <w:p w14:paraId="2B483571" w14:textId="77777777" w:rsidR="00D92AFA" w:rsidRPr="00FA49B2" w:rsidRDefault="00D92AFA" w:rsidP="00D92AFA">
      <w:pPr>
        <w:pStyle w:val="Titre2"/>
      </w:pPr>
      <w:r>
        <w:t>La loyauté de la concurrence</w:t>
      </w:r>
    </w:p>
    <w:p w14:paraId="0C370C4A" w14:textId="40462082" w:rsidR="00D92AFA" w:rsidRPr="00D92AFA" w:rsidRDefault="00D92AFA" w:rsidP="00D92AFA">
      <w:pPr>
        <w:pStyle w:val="Standard"/>
        <w:autoSpaceDE w:val="0"/>
        <w:spacing w:after="0"/>
        <w:jc w:val="both"/>
        <w:rPr>
          <w:rFonts w:ascii="Arial" w:eastAsia="NewBaskervilleStd-Roman" w:hAnsi="Arial" w:cs="Arial"/>
        </w:rPr>
      </w:pPr>
      <w:r w:rsidRPr="00D92AFA">
        <w:rPr>
          <w:rFonts w:ascii="Arial" w:eastAsia="NewBaskervilleStd-Roman" w:hAnsi="Arial" w:cs="Arial"/>
        </w:rPr>
        <w:t>La concurrence entre les entreprises doit être libre et loyale. La concurrence déloyale, issue de comportements destinés à détourner la clientèle d’un concurrent, est sanctionnée.</w:t>
      </w:r>
    </w:p>
    <w:p w14:paraId="36DF3D5D" w14:textId="77777777" w:rsidR="00D92AFA" w:rsidRPr="00D92AFA" w:rsidRDefault="00D92AFA" w:rsidP="00D92AFA">
      <w:pPr>
        <w:spacing w:after="0"/>
        <w:jc w:val="both"/>
        <w:rPr>
          <w:rFonts w:ascii="Arial" w:eastAsia="Times New Roman" w:hAnsi="Arial" w:cs="Arial"/>
          <w:lang w:eastAsia="zh-TW" w:bidi="he-IL"/>
        </w:rPr>
      </w:pPr>
      <w:r w:rsidRPr="00D92AFA">
        <w:rPr>
          <w:rFonts w:ascii="Arial" w:eastAsia="Times New Roman" w:hAnsi="Arial" w:cs="Arial"/>
          <w:lang w:eastAsia="zh-TW" w:bidi="he-IL"/>
        </w:rPr>
        <w:t>L’action en concurrence déloyale se distingue de l’action en contrefaçon. Elle est fondée sur les règles de la responsabilité extracontractuelle.</w:t>
      </w:r>
    </w:p>
    <w:p w14:paraId="2D41E164" w14:textId="77777777" w:rsidR="00D92AFA" w:rsidRPr="00D92AFA" w:rsidRDefault="00D92AFA" w:rsidP="00D92AFA">
      <w:pPr>
        <w:pStyle w:val="Textbody"/>
        <w:spacing w:after="0"/>
        <w:jc w:val="both"/>
        <w:rPr>
          <w:rFonts w:ascii="Arial" w:hAnsi="Arial" w:cs="Arial"/>
        </w:rPr>
      </w:pPr>
      <w:r w:rsidRPr="00D92AFA">
        <w:rPr>
          <w:rFonts w:ascii="Arial" w:hAnsi="Arial" w:cs="Arial"/>
        </w:rPr>
        <w:t>Les actes déloyaux de concurrence</w:t>
      </w:r>
      <w:r>
        <w:rPr>
          <w:rFonts w:ascii="Arial" w:hAnsi="Arial" w:cs="Arial"/>
        </w:rPr>
        <w:t xml:space="preserve"> sont les suivants :</w:t>
      </w:r>
    </w:p>
    <w:p w14:paraId="5370938A" w14:textId="77777777" w:rsidR="00D92AFA" w:rsidRPr="00D92AFA" w:rsidRDefault="00D92AFA" w:rsidP="00601F47">
      <w:pPr>
        <w:pStyle w:val="0Liste"/>
        <w:numPr>
          <w:ilvl w:val="0"/>
          <w:numId w:val="6"/>
        </w:numPr>
        <w:rPr>
          <w:rFonts w:cs="Arial"/>
        </w:rPr>
      </w:pPr>
      <w:r>
        <w:rPr>
          <w:rStyle w:val="StrongEmphasis"/>
          <w:rFonts w:cs="Arial"/>
        </w:rPr>
        <w:t>l</w:t>
      </w:r>
      <w:r w:rsidRPr="00D92AFA">
        <w:rPr>
          <w:rStyle w:val="StrongEmphasis"/>
          <w:rFonts w:cs="Arial"/>
        </w:rPr>
        <w:t>e dénigrement</w:t>
      </w:r>
      <w:r w:rsidRPr="00D92AFA">
        <w:rPr>
          <w:rFonts w:cs="Arial"/>
        </w:rPr>
        <w:t xml:space="preserve"> consiste à porter atteinte à l’image de marque d’un concurrent afin de détourner sa clientèle à travers des propos péjoratifs sur un produit, un service ou une prestation fournie par l’entreprise</w:t>
      </w:r>
      <w:r>
        <w:rPr>
          <w:rFonts w:cs="Arial"/>
        </w:rPr>
        <w:t> ;</w:t>
      </w:r>
    </w:p>
    <w:p w14:paraId="20D909A6" w14:textId="5D5A046D" w:rsidR="00D92AFA" w:rsidRPr="00D92AFA" w:rsidRDefault="00D92AFA" w:rsidP="00601F47">
      <w:pPr>
        <w:pStyle w:val="0Liste"/>
        <w:numPr>
          <w:ilvl w:val="0"/>
          <w:numId w:val="6"/>
        </w:numPr>
        <w:rPr>
          <w:rFonts w:cs="Arial"/>
        </w:rPr>
      </w:pPr>
      <w:r>
        <w:rPr>
          <w:rStyle w:val="StrongEmphasis"/>
          <w:rFonts w:cs="Arial"/>
        </w:rPr>
        <w:t>l</w:t>
      </w:r>
      <w:r w:rsidRPr="00D92AFA">
        <w:rPr>
          <w:rStyle w:val="StrongEmphasis"/>
          <w:rFonts w:cs="Arial"/>
        </w:rPr>
        <w:t>a désorganisation de l’entreprise concurrente ou du marché</w:t>
      </w:r>
      <w:r w:rsidRPr="00D92AFA">
        <w:rPr>
          <w:rFonts w:cs="Arial"/>
        </w:rPr>
        <w:t xml:space="preserve"> a pour but de le désavantager dans l’exercice de son activité afin de conquérir la clientèle. C’est le cas</w:t>
      </w:r>
      <w:r w:rsidR="00601F47">
        <w:rPr>
          <w:rFonts w:cs="Arial"/>
        </w:rPr>
        <w:t>,</w:t>
      </w:r>
      <w:r w:rsidRPr="00D92AFA">
        <w:rPr>
          <w:rFonts w:cs="Arial"/>
        </w:rPr>
        <w:t xml:space="preserve"> par exemple</w:t>
      </w:r>
      <w:r w:rsidR="00601F47">
        <w:rPr>
          <w:rFonts w:cs="Arial"/>
        </w:rPr>
        <w:t>,</w:t>
      </w:r>
      <w:r w:rsidRPr="00D92AFA">
        <w:rPr>
          <w:rFonts w:cs="Arial"/>
        </w:rPr>
        <w:t xml:space="preserve"> du débauchage de personnel par des procédés déloyaux (recrutement d’un salarié lié par une clause de non-concurrence…)</w:t>
      </w:r>
      <w:r>
        <w:rPr>
          <w:rFonts w:cs="Arial"/>
        </w:rPr>
        <w:t> ;</w:t>
      </w:r>
    </w:p>
    <w:p w14:paraId="4153EA17" w14:textId="6168A456" w:rsidR="00D92AFA" w:rsidRPr="00D92AFA" w:rsidRDefault="00D92AFA" w:rsidP="00601F47">
      <w:pPr>
        <w:pStyle w:val="0Liste"/>
        <w:numPr>
          <w:ilvl w:val="0"/>
          <w:numId w:val="6"/>
        </w:numPr>
        <w:rPr>
          <w:rFonts w:cs="Arial"/>
        </w:rPr>
      </w:pPr>
      <w:r>
        <w:rPr>
          <w:rStyle w:val="StrongEmphasis"/>
          <w:rFonts w:cs="Arial"/>
        </w:rPr>
        <w:t>l</w:t>
      </w:r>
      <w:r w:rsidRPr="00D92AFA">
        <w:rPr>
          <w:rStyle w:val="StrongEmphasis"/>
          <w:rFonts w:cs="Arial"/>
        </w:rPr>
        <w:t>a confusion et/ou l’imitation</w:t>
      </w:r>
      <w:r w:rsidRPr="00D92AFA">
        <w:rPr>
          <w:rFonts w:cs="Arial"/>
        </w:rPr>
        <w:t xml:space="preserve"> ont pour objectif de créer une confusion dans l’esprit de la clientèle afin d’attirer </w:t>
      </w:r>
      <w:r w:rsidR="00601F47">
        <w:rPr>
          <w:rFonts w:cs="Arial"/>
        </w:rPr>
        <w:t>l</w:t>
      </w:r>
      <w:r w:rsidRPr="00D92AFA">
        <w:rPr>
          <w:rFonts w:cs="Arial"/>
        </w:rPr>
        <w:t>es clients</w:t>
      </w:r>
      <w:r w:rsidR="00601F47">
        <w:rPr>
          <w:rFonts w:cs="Arial"/>
        </w:rPr>
        <w:t xml:space="preserve"> d’une entreprise concurrente ;</w:t>
      </w:r>
    </w:p>
    <w:p w14:paraId="4B484474" w14:textId="06754FD0" w:rsidR="00D92AFA" w:rsidRPr="00601F47" w:rsidRDefault="00601F47" w:rsidP="00601F47">
      <w:pPr>
        <w:pStyle w:val="Paragraphedeliste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>
        <w:rPr>
          <w:rStyle w:val="StrongEmphasis"/>
          <w:rFonts w:ascii="Arial" w:hAnsi="Arial" w:cs="Arial"/>
        </w:rPr>
        <w:t>l</w:t>
      </w:r>
      <w:r w:rsidR="00D92AFA" w:rsidRPr="00601F47">
        <w:rPr>
          <w:rStyle w:val="StrongEmphasis"/>
          <w:rFonts w:ascii="Arial" w:hAnsi="Arial" w:cs="Arial"/>
        </w:rPr>
        <w:t>e parasitisme économique</w:t>
      </w:r>
      <w:r w:rsidR="00D92AFA" w:rsidRPr="00601F47">
        <w:rPr>
          <w:rFonts w:ascii="Arial" w:hAnsi="Arial" w:cs="Arial"/>
        </w:rPr>
        <w:t xml:space="preserve"> est l’appropriation des efforts et des savoir-faire d’un concurrent sans rien dépenser (exemple : reprise du catalogue de vente d’une entreprise…).</w:t>
      </w:r>
      <w:bookmarkStart w:id="0" w:name="_GoBack"/>
      <w:bookmarkEnd w:id="0"/>
    </w:p>
    <w:sectPr w:rsidR="00D92AFA" w:rsidRPr="00601F47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540A3581" w14:textId="77777777" w:rsidR="00850C3B" w:rsidRDefault="00850C3B" w:rsidP="005A5CBB">
      <w:pPr>
        <w:spacing w:after="0" w:line="240" w:lineRule="auto"/>
      </w:pPr>
      <w:r>
        <w:separator/>
      </w:r>
    </w:p>
  </w:endnote>
  <w:endnote w:type="continuationSeparator" w:id="0">
    <w:p w14:paraId="4CE25D49" w14:textId="77777777" w:rsidR="00850C3B" w:rsidRDefault="00850C3B" w:rsidP="005A5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lwyn New Rounded Lt">
    <w:altName w:val="Arial"/>
    <w:panose1 w:val="00000000000000000000"/>
    <w:charset w:val="00"/>
    <w:family w:val="modern"/>
    <w:notTrueType/>
    <w:pitch w:val="variable"/>
    <w:sig w:usb0="A00000AF" w:usb1="5000204A" w:usb2="00000000" w:usb3="00000000" w:csb0="0000008B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ITC Franklin Gothic Std 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NewBaskervilleStd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wBaskerville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18EB55" w14:textId="77777777" w:rsidR="005A5CBB" w:rsidRDefault="005A5CBB">
    <w:pPr>
      <w:pStyle w:val="Pieddepage"/>
    </w:pPr>
    <w:r>
      <w:t>© Delagrave</w:t>
    </w:r>
  </w:p>
  <w:p w14:paraId="4308F8DD" w14:textId="77777777" w:rsidR="005A5CBB" w:rsidRDefault="005A5CBB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6A231837" w14:textId="77777777" w:rsidR="00850C3B" w:rsidRDefault="00850C3B" w:rsidP="005A5CBB">
      <w:pPr>
        <w:spacing w:after="0" w:line="240" w:lineRule="auto"/>
      </w:pPr>
      <w:r>
        <w:separator/>
      </w:r>
    </w:p>
  </w:footnote>
  <w:footnote w:type="continuationSeparator" w:id="0">
    <w:p w14:paraId="3CC71775" w14:textId="77777777" w:rsidR="00850C3B" w:rsidRDefault="00850C3B" w:rsidP="005A5C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176666EE"/>
    <w:multiLevelType w:val="hybridMultilevel"/>
    <w:tmpl w:val="FBF452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C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C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C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42F11"/>
    <w:multiLevelType w:val="hybridMultilevel"/>
    <w:tmpl w:val="4D5C5906"/>
    <w:lvl w:ilvl="0" w:tplc="28280EFC">
      <w:start w:val="2"/>
      <w:numFmt w:val="bullet"/>
      <w:lvlText w:val="–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F68E0"/>
    <w:multiLevelType w:val="hybridMultilevel"/>
    <w:tmpl w:val="0DA6169A"/>
    <w:lvl w:ilvl="0" w:tplc="6426877E">
      <w:start w:val="1"/>
      <w:numFmt w:val="decimal"/>
      <w:pStyle w:val="Titre2"/>
      <w:lvlText w:val="%1."/>
      <w:lvlJc w:val="left"/>
      <w:pPr>
        <w:ind w:left="360" w:hanging="360"/>
      </w:pPr>
    </w:lvl>
    <w:lvl w:ilvl="1" w:tplc="2954F6E2">
      <w:start w:val="1"/>
      <w:numFmt w:val="lowerLetter"/>
      <w:pStyle w:val="Titre3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27E6A85"/>
    <w:multiLevelType w:val="hybridMultilevel"/>
    <w:tmpl w:val="EDBE2A8A"/>
    <w:lvl w:ilvl="0" w:tplc="577A6772">
      <w:start w:val="1"/>
      <w:numFmt w:val="bullet"/>
      <w:pStyle w:val="0List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19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C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C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C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5D3D04"/>
    <w:multiLevelType w:val="hybridMultilevel"/>
    <w:tmpl w:val="EE18C6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615A5E"/>
    <w:multiLevelType w:val="hybridMultilevel"/>
    <w:tmpl w:val="04D017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DE2"/>
    <w:rsid w:val="001B5DE2"/>
    <w:rsid w:val="003C0D7B"/>
    <w:rsid w:val="005A5CBB"/>
    <w:rsid w:val="00601F47"/>
    <w:rsid w:val="00850C3B"/>
    <w:rsid w:val="00CA5B74"/>
    <w:rsid w:val="00D92AFA"/>
    <w:rsid w:val="00FA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  <w14:docId w14:val="5EE547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FA49B2"/>
    <w:pPr>
      <w:outlineLvl w:val="0"/>
    </w:pPr>
    <w:rPr>
      <w:rFonts w:ascii="Alwyn New Rounded Lt" w:hAnsi="Alwyn New Rounded Lt"/>
      <w:b/>
      <w:color w:val="000099"/>
      <w:sz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A49B2"/>
    <w:pPr>
      <w:numPr>
        <w:numId w:val="1"/>
      </w:numPr>
      <w:outlineLvl w:val="1"/>
    </w:pPr>
    <w:rPr>
      <w:rFonts w:ascii="Alwyn New Rounded Lt" w:hAnsi="Alwyn New Rounded Lt"/>
      <w:color w:val="006600"/>
      <w:sz w:val="32"/>
    </w:rPr>
  </w:style>
  <w:style w:type="paragraph" w:styleId="Titre3">
    <w:name w:val="heading 3"/>
    <w:basedOn w:val="Titre2"/>
    <w:next w:val="Normal"/>
    <w:link w:val="Titre3Car"/>
    <w:uiPriority w:val="9"/>
    <w:unhideWhenUsed/>
    <w:qFormat/>
    <w:rsid w:val="00FA49B2"/>
    <w:pPr>
      <w:numPr>
        <w:ilvl w:val="1"/>
      </w:numPr>
      <w:outlineLvl w:val="2"/>
    </w:pPr>
    <w:rPr>
      <w:color w:val="943634" w:themeColor="accent2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A49B2"/>
    <w:rPr>
      <w:rFonts w:ascii="Alwyn New Rounded Lt" w:hAnsi="Alwyn New Rounded Lt"/>
      <w:b/>
      <w:color w:val="000099"/>
      <w:sz w:val="40"/>
      <w:szCs w:val="22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FA49B2"/>
    <w:rPr>
      <w:rFonts w:ascii="Alwyn New Rounded Lt" w:hAnsi="Alwyn New Rounded Lt"/>
      <w:color w:val="006600"/>
      <w:sz w:val="32"/>
      <w:szCs w:val="22"/>
      <w:lang w:eastAsia="en-US"/>
    </w:rPr>
  </w:style>
  <w:style w:type="character" w:customStyle="1" w:styleId="Titre3Car">
    <w:name w:val="Titre 3 Car"/>
    <w:basedOn w:val="Policepardfaut"/>
    <w:link w:val="Titre3"/>
    <w:uiPriority w:val="9"/>
    <w:rsid w:val="00FA49B2"/>
    <w:rPr>
      <w:rFonts w:ascii="Alwyn New Rounded Lt" w:hAnsi="Alwyn New Rounded Lt"/>
      <w:color w:val="943634" w:themeColor="accent2" w:themeShade="BF"/>
      <w:sz w:val="32"/>
      <w:szCs w:val="22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5A5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A5CBB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5A5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A5CBB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A5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5CBB"/>
    <w:rPr>
      <w:rFonts w:ascii="Tahoma" w:hAnsi="Tahoma" w:cs="Tahoma"/>
      <w:sz w:val="16"/>
      <w:szCs w:val="16"/>
      <w:lang w:eastAsia="en-US"/>
    </w:rPr>
  </w:style>
  <w:style w:type="paragraph" w:customStyle="1" w:styleId="03NotionTxt">
    <w:name w:val="03_NotionTxt"/>
    <w:basedOn w:val="Normal"/>
    <w:qFormat/>
    <w:rsid w:val="00D92AFA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SimSun" w:hAnsi="Arial" w:cs="Geneva"/>
      <w:kern w:val="3"/>
      <w:lang w:bidi="hi-IN"/>
    </w:rPr>
  </w:style>
  <w:style w:type="paragraph" w:customStyle="1" w:styleId="04Titre">
    <w:name w:val="04_Titre"/>
    <w:rsid w:val="00D92AFA"/>
    <w:pPr>
      <w:pBdr>
        <w:top w:val="nil"/>
        <w:left w:val="nil"/>
        <w:bottom w:val="nil"/>
        <w:right w:val="nil"/>
        <w:between w:val="nil"/>
        <w:bar w:val="nil"/>
      </w:pBdr>
      <w:spacing w:before="120"/>
    </w:pPr>
    <w:rPr>
      <w:rFonts w:ascii="Arial" w:eastAsia="Arial Unicode MS" w:hAnsi="Arial" w:cs="Arial Unicode MS"/>
      <w:b/>
      <w:bCs/>
      <w:color w:val="000000"/>
      <w:sz w:val="24"/>
      <w:szCs w:val="24"/>
      <w:u w:color="000000"/>
      <w:bdr w:val="nil"/>
      <w:lang w:val="pt-PT"/>
    </w:rPr>
  </w:style>
  <w:style w:type="paragraph" w:customStyle="1" w:styleId="Standard">
    <w:name w:val="Standard"/>
    <w:rsid w:val="00D92AFA"/>
    <w:pPr>
      <w:suppressAutoHyphens/>
      <w:autoSpaceDN w:val="0"/>
      <w:spacing w:after="200" w:line="276" w:lineRule="auto"/>
      <w:textAlignment w:val="baseline"/>
    </w:pPr>
    <w:rPr>
      <w:rFonts w:ascii="Times New Roman" w:eastAsia="SimSun" w:hAnsi="Times New Roman" w:cs="Lucida Sans"/>
      <w:kern w:val="3"/>
      <w:sz w:val="22"/>
      <w:szCs w:val="22"/>
      <w:lang w:eastAsia="en-US" w:bidi="hi-IN"/>
    </w:rPr>
  </w:style>
  <w:style w:type="paragraph" w:customStyle="1" w:styleId="Textbody">
    <w:name w:val="Text body"/>
    <w:basedOn w:val="Standard"/>
    <w:rsid w:val="00D92AFA"/>
    <w:pPr>
      <w:spacing w:after="120"/>
    </w:pPr>
    <w:rPr>
      <w:rFonts w:cs="Geneva"/>
    </w:rPr>
  </w:style>
  <w:style w:type="paragraph" w:customStyle="1" w:styleId="0Liste">
    <w:name w:val="0_Liste"/>
    <w:basedOn w:val="Normal"/>
    <w:qFormat/>
    <w:rsid w:val="00D92AFA"/>
    <w:pPr>
      <w:numPr>
        <w:numId w:val="2"/>
      </w:numPr>
      <w:spacing w:after="0"/>
      <w:jc w:val="both"/>
    </w:pPr>
    <w:rPr>
      <w:rFonts w:ascii="Arial" w:hAnsi="Arial" w:cs="ITC Franklin Gothic Std Book"/>
      <w:lang w:eastAsia="fr-FR"/>
    </w:rPr>
  </w:style>
  <w:style w:type="character" w:customStyle="1" w:styleId="StrongEmphasis">
    <w:name w:val="Strong Emphasis"/>
    <w:rsid w:val="00D92AFA"/>
    <w:rPr>
      <w:b/>
      <w:bCs/>
    </w:rPr>
  </w:style>
  <w:style w:type="paragraph" w:styleId="Paragraphedeliste">
    <w:name w:val="List Paragraph"/>
    <w:basedOn w:val="Normal"/>
    <w:uiPriority w:val="34"/>
    <w:qFormat/>
    <w:rsid w:val="00601F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FA49B2"/>
    <w:pPr>
      <w:outlineLvl w:val="0"/>
    </w:pPr>
    <w:rPr>
      <w:rFonts w:ascii="Alwyn New Rounded Lt" w:hAnsi="Alwyn New Rounded Lt"/>
      <w:b/>
      <w:color w:val="000099"/>
      <w:sz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A49B2"/>
    <w:pPr>
      <w:numPr>
        <w:numId w:val="1"/>
      </w:numPr>
      <w:outlineLvl w:val="1"/>
    </w:pPr>
    <w:rPr>
      <w:rFonts w:ascii="Alwyn New Rounded Lt" w:hAnsi="Alwyn New Rounded Lt"/>
      <w:color w:val="006600"/>
      <w:sz w:val="32"/>
    </w:rPr>
  </w:style>
  <w:style w:type="paragraph" w:styleId="Titre3">
    <w:name w:val="heading 3"/>
    <w:basedOn w:val="Titre2"/>
    <w:next w:val="Normal"/>
    <w:link w:val="Titre3Car"/>
    <w:uiPriority w:val="9"/>
    <w:unhideWhenUsed/>
    <w:qFormat/>
    <w:rsid w:val="00FA49B2"/>
    <w:pPr>
      <w:numPr>
        <w:ilvl w:val="1"/>
      </w:numPr>
      <w:outlineLvl w:val="2"/>
    </w:pPr>
    <w:rPr>
      <w:color w:val="943634" w:themeColor="accent2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A49B2"/>
    <w:rPr>
      <w:rFonts w:ascii="Alwyn New Rounded Lt" w:hAnsi="Alwyn New Rounded Lt"/>
      <w:b/>
      <w:color w:val="000099"/>
      <w:sz w:val="40"/>
      <w:szCs w:val="22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FA49B2"/>
    <w:rPr>
      <w:rFonts w:ascii="Alwyn New Rounded Lt" w:hAnsi="Alwyn New Rounded Lt"/>
      <w:color w:val="006600"/>
      <w:sz w:val="32"/>
      <w:szCs w:val="22"/>
      <w:lang w:eastAsia="en-US"/>
    </w:rPr>
  </w:style>
  <w:style w:type="character" w:customStyle="1" w:styleId="Titre3Car">
    <w:name w:val="Titre 3 Car"/>
    <w:basedOn w:val="Policepardfaut"/>
    <w:link w:val="Titre3"/>
    <w:uiPriority w:val="9"/>
    <w:rsid w:val="00FA49B2"/>
    <w:rPr>
      <w:rFonts w:ascii="Alwyn New Rounded Lt" w:hAnsi="Alwyn New Rounded Lt"/>
      <w:color w:val="943634" w:themeColor="accent2" w:themeShade="BF"/>
      <w:sz w:val="32"/>
      <w:szCs w:val="22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5A5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A5CBB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5A5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A5CBB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A5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5CBB"/>
    <w:rPr>
      <w:rFonts w:ascii="Tahoma" w:hAnsi="Tahoma" w:cs="Tahoma"/>
      <w:sz w:val="16"/>
      <w:szCs w:val="16"/>
      <w:lang w:eastAsia="en-US"/>
    </w:rPr>
  </w:style>
  <w:style w:type="paragraph" w:customStyle="1" w:styleId="03NotionTxt">
    <w:name w:val="03_NotionTxt"/>
    <w:basedOn w:val="Normal"/>
    <w:qFormat/>
    <w:rsid w:val="00D92AFA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SimSun" w:hAnsi="Arial" w:cs="Geneva"/>
      <w:kern w:val="3"/>
      <w:lang w:bidi="hi-IN"/>
    </w:rPr>
  </w:style>
  <w:style w:type="paragraph" w:customStyle="1" w:styleId="04Titre">
    <w:name w:val="04_Titre"/>
    <w:rsid w:val="00D92AFA"/>
    <w:pPr>
      <w:pBdr>
        <w:top w:val="nil"/>
        <w:left w:val="nil"/>
        <w:bottom w:val="nil"/>
        <w:right w:val="nil"/>
        <w:between w:val="nil"/>
        <w:bar w:val="nil"/>
      </w:pBdr>
      <w:spacing w:before="120"/>
    </w:pPr>
    <w:rPr>
      <w:rFonts w:ascii="Arial" w:eastAsia="Arial Unicode MS" w:hAnsi="Arial" w:cs="Arial Unicode MS"/>
      <w:b/>
      <w:bCs/>
      <w:color w:val="000000"/>
      <w:sz w:val="24"/>
      <w:szCs w:val="24"/>
      <w:u w:color="000000"/>
      <w:bdr w:val="nil"/>
      <w:lang w:val="pt-PT"/>
    </w:rPr>
  </w:style>
  <w:style w:type="paragraph" w:customStyle="1" w:styleId="Standard">
    <w:name w:val="Standard"/>
    <w:rsid w:val="00D92AFA"/>
    <w:pPr>
      <w:suppressAutoHyphens/>
      <w:autoSpaceDN w:val="0"/>
      <w:spacing w:after="200" w:line="276" w:lineRule="auto"/>
      <w:textAlignment w:val="baseline"/>
    </w:pPr>
    <w:rPr>
      <w:rFonts w:ascii="Times New Roman" w:eastAsia="SimSun" w:hAnsi="Times New Roman" w:cs="Lucida Sans"/>
      <w:kern w:val="3"/>
      <w:sz w:val="22"/>
      <w:szCs w:val="22"/>
      <w:lang w:eastAsia="en-US" w:bidi="hi-IN"/>
    </w:rPr>
  </w:style>
  <w:style w:type="paragraph" w:customStyle="1" w:styleId="Textbody">
    <w:name w:val="Text body"/>
    <w:basedOn w:val="Standard"/>
    <w:rsid w:val="00D92AFA"/>
    <w:pPr>
      <w:spacing w:after="120"/>
    </w:pPr>
    <w:rPr>
      <w:rFonts w:cs="Geneva"/>
    </w:rPr>
  </w:style>
  <w:style w:type="paragraph" w:customStyle="1" w:styleId="0Liste">
    <w:name w:val="0_Liste"/>
    <w:basedOn w:val="Normal"/>
    <w:qFormat/>
    <w:rsid w:val="00D92AFA"/>
    <w:pPr>
      <w:numPr>
        <w:numId w:val="2"/>
      </w:numPr>
      <w:spacing w:after="0"/>
      <w:jc w:val="both"/>
    </w:pPr>
    <w:rPr>
      <w:rFonts w:ascii="Arial" w:hAnsi="Arial" w:cs="ITC Franklin Gothic Std Book"/>
      <w:lang w:eastAsia="fr-FR"/>
    </w:rPr>
  </w:style>
  <w:style w:type="character" w:customStyle="1" w:styleId="StrongEmphasis">
    <w:name w:val="Strong Emphasis"/>
    <w:rsid w:val="00D92AFA"/>
    <w:rPr>
      <w:b/>
      <w:bCs/>
    </w:rPr>
  </w:style>
  <w:style w:type="paragraph" w:styleId="Paragraphedeliste">
    <w:name w:val="List Paragraph"/>
    <w:basedOn w:val="Normal"/>
    <w:uiPriority w:val="34"/>
    <w:qFormat/>
    <w:rsid w:val="00601F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1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39DB50D0E9F24AA81D29227A2F1797" ma:contentTypeVersion="4" ma:contentTypeDescription="Crée un document." ma:contentTypeScope="" ma:versionID="3b743cac87bece6d75de729dfee1cf0b">
  <xsd:schema xmlns:xsd="http://www.w3.org/2001/XMLSchema" xmlns:xs="http://www.w3.org/2001/XMLSchema" xmlns:p="http://schemas.microsoft.com/office/2006/metadata/properties" xmlns:ns2="297ff363-7b96-4843-a0b3-748948a0c192" xmlns:ns3="fc22d3ba-7172-42c4-b5bc-8b08cc166b9e" targetNamespace="http://schemas.microsoft.com/office/2006/metadata/properties" ma:root="true" ma:fieldsID="ade13c4c8e11184d63c78e3ee685ffa7" ns2:_="" ns3:_="">
    <xsd:import namespace="297ff363-7b96-4843-a0b3-748948a0c192"/>
    <xsd:import namespace="fc22d3ba-7172-42c4-b5bc-8b08cc166b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ff363-7b96-4843-a0b3-748948a0c1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22d3ba-7172-42c4-b5bc-8b08cc166b9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7008E8-9D53-4878-9EB4-AAC426D2ABA3}"/>
</file>

<file path=customXml/itemProps2.xml><?xml version="1.0" encoding="utf-8"?>
<ds:datastoreItem xmlns:ds="http://schemas.openxmlformats.org/officeDocument/2006/customXml" ds:itemID="{7649979F-56F0-413E-84B6-493F41612258}"/>
</file>

<file path=customXml/itemProps3.xml><?xml version="1.0" encoding="utf-8"?>
<ds:datastoreItem xmlns:ds="http://schemas.openxmlformats.org/officeDocument/2006/customXml" ds:itemID="{E3FD341C-6104-4BEE-82DC-2F26B5F1535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346</Words>
  <Characters>1904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Groupe Albin Michel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Moulart</dc:creator>
  <cp:lastModifiedBy>Reine Bellivier</cp:lastModifiedBy>
  <cp:revision>5</cp:revision>
  <dcterms:created xsi:type="dcterms:W3CDTF">2020-02-26T14:30:00Z</dcterms:created>
  <dcterms:modified xsi:type="dcterms:W3CDTF">2020-03-11T12:26:00Z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0x0101002139DB50D0E9F24AA81D29227A2F1797</vt:lpwstr>
  </property>
</Properties>
</file>