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C00FC0" w14:textId="77777777" w:rsidR="004B3943" w:rsidRPr="004B3943" w:rsidRDefault="004B3943" w:rsidP="004B3943">
      <w:pPr>
        <w:rPr>
          <w:rFonts w:ascii="Times" w:hAnsi="Times"/>
        </w:rPr>
      </w:pPr>
      <w:r w:rsidRPr="004B3943">
        <w:rPr>
          <w:rFonts w:ascii="Times" w:hAnsi="Times"/>
          <w:noProof/>
          <w:lang w:eastAsia="fr-FR"/>
        </w:rPr>
        <w:pict w14:anchorId="604BED95">
          <v:group id="_x0000_s1031" style="position:absolute;margin-left:1.65pt;margin-top:21.35pt;width:453.25pt;height:85.25pt;z-index:251665408;mso-position-horizontal-relative:margin;mso-position-vertical-relative:margin" coordorigin="1417,1419" coordsize="9065,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3;top:1419;width:4539;height:1705;mso-position-horizontal-relative:margin;mso-position-vertical-relative:margin;mso-width-relative:page;mso-height-relative:page">
              <v:imagedata r:id="rId8" o:title="rhc"/>
            </v:shape>
            <v:group id="_x0000_s1030" style="position:absolute;left:1417;top:1564;width:3097;height:1414" coordorigin="1417,1417" coordsize="3097,1414">
              <v:shape id="_x0000_s1026" type="#_x0000_t75" style="position:absolute;left:1417;top:1417;width:3097;height:850;mso-position-horizontal:left;mso-position-horizontal-relative:margin;mso-position-vertical:top;mso-position-vertical-relative:margin;mso-width-relative:page;mso-height-relative:page">
                <v:imagedata r:id="rId9" o:title="essentiel"/>
              </v:shape>
              <v:shape id="_x0000_s1029" type="#_x0000_t75" style="position:absolute;left:2038;top:2267;width:1855;height:564;mso-position-horizontal-relative:text;mso-position-vertical-relative:text;mso-width-relative:page;mso-height-relative:page">
                <v:imagedata r:id="rId10" o:title="tle"/>
              </v:shape>
            </v:group>
            <w10:wrap type="square" anchorx="margin" anchory="margin"/>
          </v:group>
        </w:pict>
      </w:r>
    </w:p>
    <w:p w14:paraId="73290FF7" w14:textId="77777777" w:rsidR="004B3943" w:rsidRPr="004B3943" w:rsidRDefault="004B3943" w:rsidP="004B3943">
      <w:pPr>
        <w:rPr>
          <w:rFonts w:ascii="Times" w:hAnsi="Times" w:cs="Arial"/>
          <w:b/>
        </w:rPr>
      </w:pPr>
      <w:r w:rsidRPr="004B3943">
        <w:rPr>
          <w:rFonts w:ascii="Times" w:hAnsi="Times" w:cs="Arial"/>
          <w:b/>
        </w:rPr>
        <w:t>Chapitre 9 – À quelles conditions le dialogue social peut-il renforcer durablement la cohésion ?</w:t>
      </w:r>
    </w:p>
    <w:p w14:paraId="0956610F" w14:textId="77777777" w:rsidR="004B3943" w:rsidRPr="004B3943" w:rsidRDefault="004B3943" w:rsidP="004B3943">
      <w:pPr>
        <w:rPr>
          <w:rFonts w:ascii="Times" w:hAnsi="Times" w:cs="Arial"/>
        </w:rPr>
      </w:pPr>
    </w:p>
    <w:p w14:paraId="51D62655" w14:textId="77777777" w:rsidR="004B3943" w:rsidRPr="004B3943" w:rsidRDefault="004B3943" w:rsidP="004B3943">
      <w:pPr>
        <w:pStyle w:val="Paragraphedeliste"/>
        <w:numPr>
          <w:ilvl w:val="0"/>
          <w:numId w:val="5"/>
        </w:numPr>
        <w:ind w:left="284" w:hanging="295"/>
        <w:rPr>
          <w:rFonts w:ascii="Times" w:hAnsi="Times" w:cs="Arial"/>
          <w:b/>
          <w:bCs/>
          <w:sz w:val="22"/>
          <w:szCs w:val="22"/>
          <w:u w:val="single"/>
        </w:rPr>
      </w:pPr>
      <w:r w:rsidRPr="004B3943">
        <w:rPr>
          <w:rFonts w:ascii="Times" w:hAnsi="Times" w:cs="Arial"/>
          <w:b/>
          <w:bCs/>
          <w:sz w:val="22"/>
          <w:szCs w:val="22"/>
          <w:u w:val="single"/>
        </w:rPr>
        <w:t xml:space="preserve">Comment le dialogue social peut-il favoriser la cohésion ? </w:t>
      </w:r>
    </w:p>
    <w:p w14:paraId="1F897953" w14:textId="77777777" w:rsidR="004B3943" w:rsidRPr="004B3943" w:rsidRDefault="004B3943" w:rsidP="004B3943">
      <w:pPr>
        <w:rPr>
          <w:rFonts w:ascii="Times" w:hAnsi="Times" w:cs="Arial"/>
          <w:b/>
          <w:bCs/>
        </w:rPr>
      </w:pPr>
    </w:p>
    <w:p w14:paraId="3AFC3947" w14:textId="11407FD4" w:rsidR="004B3943" w:rsidRPr="00816FBB" w:rsidRDefault="004B3943" w:rsidP="00816FBB">
      <w:pPr>
        <w:pStyle w:val="Paragraphedeliste"/>
        <w:numPr>
          <w:ilvl w:val="0"/>
          <w:numId w:val="6"/>
        </w:numPr>
        <w:spacing w:after="240"/>
        <w:ind w:left="425" w:hanging="425"/>
        <w:rPr>
          <w:rFonts w:ascii="Times" w:hAnsi="Times" w:cs="Arial"/>
          <w:b/>
          <w:bCs/>
          <w:sz w:val="22"/>
          <w:szCs w:val="22"/>
        </w:rPr>
      </w:pPr>
      <w:r w:rsidRPr="004B3943">
        <w:rPr>
          <w:rFonts w:ascii="Times" w:hAnsi="Times" w:cs="Arial"/>
          <w:b/>
          <w:bCs/>
          <w:sz w:val="22"/>
          <w:szCs w:val="22"/>
        </w:rPr>
        <w:t>Le dialogue social, un vecteur de performance globale</w:t>
      </w:r>
    </w:p>
    <w:p w14:paraId="792E1AF4" w14:textId="77777777" w:rsidR="004B3943" w:rsidRPr="004B3943" w:rsidRDefault="004B3943" w:rsidP="004B3943">
      <w:pPr>
        <w:jc w:val="both"/>
        <w:rPr>
          <w:rFonts w:ascii="Times" w:hAnsi="Times" w:cs="Arial"/>
          <w:color w:val="000000" w:themeColor="text1"/>
        </w:rPr>
      </w:pPr>
      <w:r w:rsidRPr="004B3943">
        <w:rPr>
          <w:rFonts w:ascii="Times" w:hAnsi="Times" w:cs="Arial"/>
          <w:color w:val="000000" w:themeColor="text1"/>
        </w:rPr>
        <w:t>Le dialogue social est un moyen de négociation, de consultation ou simplement d’échange d’informations entre les représentants des gouvernements, des employeurs et des salariés sur des questions sociales et économiques.</w:t>
      </w:r>
    </w:p>
    <w:p w14:paraId="78CCEB63" w14:textId="77777777" w:rsidR="004B3943" w:rsidRPr="004B3943" w:rsidRDefault="004B3943" w:rsidP="004B3943">
      <w:pPr>
        <w:jc w:val="both"/>
        <w:rPr>
          <w:rFonts w:ascii="Times" w:hAnsi="Times" w:cs="Arial"/>
          <w:color w:val="000000" w:themeColor="text1"/>
        </w:rPr>
      </w:pPr>
      <w:r w:rsidRPr="004B3943">
        <w:rPr>
          <w:rFonts w:ascii="Times" w:hAnsi="Times" w:cs="Arial"/>
          <w:color w:val="000000" w:themeColor="text1"/>
        </w:rPr>
        <w:t xml:space="preserve">Il peut prendre deux formes : </w:t>
      </w:r>
    </w:p>
    <w:p w14:paraId="686F32C4" w14:textId="77777777" w:rsidR="004B3943" w:rsidRPr="004B3943" w:rsidRDefault="004B3943" w:rsidP="004B3943">
      <w:pPr>
        <w:pStyle w:val="Paragraphedeliste"/>
        <w:numPr>
          <w:ilvl w:val="0"/>
          <w:numId w:val="7"/>
        </w:numPr>
        <w:jc w:val="both"/>
        <w:rPr>
          <w:rFonts w:ascii="Times" w:hAnsi="Times" w:cs="Arial"/>
          <w:color w:val="000000" w:themeColor="text1"/>
          <w:sz w:val="22"/>
          <w:szCs w:val="22"/>
        </w:rPr>
      </w:pPr>
      <w:r w:rsidRPr="004B3943">
        <w:rPr>
          <w:rFonts w:ascii="Times" w:hAnsi="Times" w:cs="Arial"/>
          <w:bCs/>
          <w:color w:val="000000" w:themeColor="text1"/>
          <w:sz w:val="22"/>
          <w:szCs w:val="22"/>
        </w:rPr>
        <w:t>le processus bipartite</w:t>
      </w:r>
      <w:r w:rsidRPr="004B3943">
        <w:rPr>
          <w:rFonts w:ascii="Times" w:hAnsi="Times" w:cs="Arial"/>
          <w:color w:val="000000" w:themeColor="text1"/>
          <w:sz w:val="22"/>
          <w:szCs w:val="22"/>
        </w:rPr>
        <w:t xml:space="preserve"> : entre </w:t>
      </w:r>
      <w:r>
        <w:rPr>
          <w:rFonts w:ascii="Times" w:hAnsi="Times" w:cs="Arial"/>
          <w:color w:val="000000" w:themeColor="text1"/>
          <w:sz w:val="22"/>
          <w:szCs w:val="22"/>
        </w:rPr>
        <w:t>salariés et employeur ;</w:t>
      </w:r>
    </w:p>
    <w:p w14:paraId="0CFB8882" w14:textId="77777777" w:rsidR="004B3943" w:rsidRPr="004B3943" w:rsidRDefault="004B3943" w:rsidP="004B3943">
      <w:pPr>
        <w:pStyle w:val="Paragraphedeliste"/>
        <w:numPr>
          <w:ilvl w:val="0"/>
          <w:numId w:val="7"/>
        </w:numPr>
        <w:jc w:val="both"/>
        <w:rPr>
          <w:rFonts w:ascii="Times" w:hAnsi="Times" w:cs="Arial"/>
          <w:color w:val="000000" w:themeColor="text1"/>
          <w:sz w:val="22"/>
          <w:szCs w:val="22"/>
        </w:rPr>
      </w:pPr>
      <w:r w:rsidRPr="004B3943">
        <w:rPr>
          <w:rFonts w:ascii="Times" w:hAnsi="Times" w:cs="Arial"/>
          <w:bCs/>
          <w:color w:val="000000" w:themeColor="text1"/>
          <w:sz w:val="22"/>
          <w:szCs w:val="22"/>
        </w:rPr>
        <w:t>le processus tripartite</w:t>
      </w:r>
      <w:r w:rsidRPr="004B3943">
        <w:rPr>
          <w:rFonts w:ascii="Times" w:hAnsi="Times" w:cs="Arial"/>
          <w:color w:val="000000" w:themeColor="text1"/>
          <w:sz w:val="22"/>
          <w:szCs w:val="22"/>
        </w:rPr>
        <w:t> : entre salariés, employeur et gouvernement.</w:t>
      </w:r>
    </w:p>
    <w:p w14:paraId="28B0AE02" w14:textId="77777777" w:rsidR="004B3943" w:rsidRPr="004B3943" w:rsidRDefault="004B3943" w:rsidP="004B3943">
      <w:pPr>
        <w:jc w:val="both"/>
        <w:rPr>
          <w:rFonts w:ascii="Times" w:hAnsi="Times" w:cs="Arial"/>
          <w:color w:val="000000" w:themeColor="text1"/>
        </w:rPr>
      </w:pPr>
      <w:bookmarkStart w:id="0" w:name="_GoBack"/>
      <w:bookmarkEnd w:id="0"/>
    </w:p>
    <w:p w14:paraId="1D1040D8" w14:textId="77777777" w:rsidR="004B3943" w:rsidRPr="004B3943" w:rsidRDefault="004B3943" w:rsidP="004B3943">
      <w:pPr>
        <w:jc w:val="both"/>
        <w:rPr>
          <w:rFonts w:ascii="Times" w:hAnsi="Times" w:cs="Arial"/>
          <w:color w:val="000000" w:themeColor="text1"/>
        </w:rPr>
      </w:pPr>
      <w:r w:rsidRPr="004B3943">
        <w:rPr>
          <w:rFonts w:ascii="Times" w:hAnsi="Times" w:cs="Arial"/>
          <w:color w:val="000000" w:themeColor="text1"/>
        </w:rPr>
        <w:t xml:space="preserve">Le dialogue social a pour objectif de permettre une meilleure cohésion au sein des organisations et de développer les sentiments d’appartenance et de loyauté en remettant le salarié au cœur du débat. Le dialogue social contribue à résoudre des problématiques économiques et sociales que rencontrent les organisations. </w:t>
      </w:r>
    </w:p>
    <w:p w14:paraId="13946834" w14:textId="77777777" w:rsidR="004B3943" w:rsidRPr="004B3943" w:rsidRDefault="004B3943" w:rsidP="004B3943">
      <w:pPr>
        <w:jc w:val="both"/>
        <w:rPr>
          <w:rFonts w:ascii="Times" w:hAnsi="Times" w:cs="Arial"/>
          <w:color w:val="000000" w:themeColor="text1"/>
        </w:rPr>
      </w:pPr>
      <w:r w:rsidRPr="004B3943">
        <w:rPr>
          <w:rFonts w:ascii="Times" w:hAnsi="Times" w:cs="Arial"/>
          <w:color w:val="000000" w:themeColor="text1"/>
        </w:rPr>
        <w:t xml:space="preserve">Depuis 2018, dans les organisations, le dialogue social est renforcé par la création du Comité Social et Économique (CSE). Le CSE est un dispositif légal qui permet de représenter les intérêts des salariés et d’améliorer la cohésion sociale. </w:t>
      </w:r>
    </w:p>
    <w:p w14:paraId="3F6E3C2D" w14:textId="77777777" w:rsidR="004B3943" w:rsidRDefault="004B3943" w:rsidP="004B3943">
      <w:pPr>
        <w:jc w:val="both"/>
        <w:rPr>
          <w:rFonts w:ascii="Times" w:hAnsi="Times" w:cs="Arial"/>
          <w:color w:val="000000" w:themeColor="text1"/>
        </w:rPr>
      </w:pPr>
      <w:r w:rsidRPr="004B3943">
        <w:rPr>
          <w:rFonts w:ascii="Times" w:hAnsi="Times" w:cs="Arial"/>
          <w:color w:val="000000" w:themeColor="text1"/>
        </w:rPr>
        <w:t xml:space="preserve">La mise en place d’un dialogue social au sien d’une organisation favorise un environnement social plus satisfaisant pour les salariés. Ces derniers ainsi fourniront un travail de qualité et permettront à l’entreprise d’atteindre la performance sociale, économique, financière et organisationnelle. </w:t>
      </w:r>
    </w:p>
    <w:p w14:paraId="0307676A" w14:textId="77777777" w:rsidR="004B3943" w:rsidRPr="004B3943" w:rsidRDefault="004B3943" w:rsidP="004B3943">
      <w:pPr>
        <w:jc w:val="both"/>
        <w:rPr>
          <w:rFonts w:ascii="Times" w:hAnsi="Times" w:cs="Arial"/>
          <w:color w:val="000000" w:themeColor="text1"/>
        </w:rPr>
      </w:pPr>
    </w:p>
    <w:p w14:paraId="4E16F18C" w14:textId="77777777" w:rsidR="004B3943" w:rsidRDefault="004B3943" w:rsidP="004B3943">
      <w:pPr>
        <w:pStyle w:val="Paragraphedeliste"/>
        <w:numPr>
          <w:ilvl w:val="0"/>
          <w:numId w:val="6"/>
        </w:numPr>
        <w:ind w:left="426" w:hanging="426"/>
        <w:rPr>
          <w:rFonts w:ascii="Times" w:hAnsi="Times" w:cs="Arial"/>
          <w:b/>
          <w:bCs/>
          <w:sz w:val="22"/>
          <w:szCs w:val="22"/>
        </w:rPr>
      </w:pPr>
      <w:r w:rsidRPr="004B3943">
        <w:rPr>
          <w:rFonts w:ascii="Times" w:hAnsi="Times" w:cs="Arial"/>
          <w:b/>
          <w:bCs/>
          <w:sz w:val="22"/>
          <w:szCs w:val="22"/>
        </w:rPr>
        <w:t>Le dialogue social, un facteur indispensable pour la cohésion dans l’organisation</w:t>
      </w:r>
    </w:p>
    <w:p w14:paraId="613D6FDC" w14:textId="77777777" w:rsidR="004B3943" w:rsidRPr="004B3943" w:rsidRDefault="004B3943" w:rsidP="004B3943">
      <w:pPr>
        <w:pStyle w:val="Paragraphedeliste"/>
        <w:ind w:left="426"/>
        <w:rPr>
          <w:rFonts w:ascii="Times" w:hAnsi="Times" w:cs="Arial"/>
          <w:b/>
          <w:bCs/>
          <w:sz w:val="22"/>
          <w:szCs w:val="22"/>
        </w:rPr>
      </w:pPr>
    </w:p>
    <w:p w14:paraId="0CF94043" w14:textId="77777777" w:rsidR="004B3943" w:rsidRPr="004B3943" w:rsidRDefault="004B3943" w:rsidP="004B3943">
      <w:pPr>
        <w:jc w:val="both"/>
        <w:rPr>
          <w:rFonts w:ascii="Times" w:hAnsi="Times" w:cs="Arial"/>
          <w:color w:val="000000" w:themeColor="text1"/>
        </w:rPr>
      </w:pPr>
      <w:r w:rsidRPr="004B3943">
        <w:rPr>
          <w:rFonts w:ascii="Times" w:hAnsi="Times" w:cs="Arial"/>
          <w:color w:val="000000" w:themeColor="text1"/>
        </w:rPr>
        <w:t>La cohésion de groupe implique une forte union des individus constituant un groupe, en vue de la réalisation d’objectifs communs.</w:t>
      </w:r>
      <w:r>
        <w:rPr>
          <w:rFonts w:ascii="Times" w:hAnsi="Times" w:cs="Arial"/>
          <w:color w:val="000000" w:themeColor="text1"/>
        </w:rPr>
        <w:t xml:space="preserve"> </w:t>
      </w:r>
      <w:r w:rsidRPr="004B3943">
        <w:rPr>
          <w:rFonts w:ascii="Times" w:hAnsi="Times" w:cs="Arial"/>
          <w:color w:val="000000" w:themeColor="text1"/>
        </w:rPr>
        <w:t xml:space="preserve">Ainsi, le dialogue social favorise la cohésion car il permet aux différentes parties prenantes internes (salariés, la direction, les syndicats) de communiquer pour construire un projet commun afin de poursuivre le même objectif : la pérennité de l’entreprise. </w:t>
      </w:r>
    </w:p>
    <w:p w14:paraId="51230F0C" w14:textId="77777777" w:rsidR="004B3943" w:rsidRPr="004B3943" w:rsidRDefault="004B3943" w:rsidP="004B3943">
      <w:pPr>
        <w:jc w:val="both"/>
        <w:rPr>
          <w:rFonts w:ascii="Times" w:hAnsi="Times" w:cs="Arial"/>
          <w:color w:val="000000" w:themeColor="text1"/>
        </w:rPr>
      </w:pPr>
    </w:p>
    <w:p w14:paraId="49052EDA" w14:textId="77777777" w:rsidR="004B3943" w:rsidRPr="004B3943" w:rsidRDefault="004B3943" w:rsidP="004B3943">
      <w:pPr>
        <w:pStyle w:val="Titre1STMG"/>
        <w:numPr>
          <w:ilvl w:val="0"/>
          <w:numId w:val="5"/>
        </w:numPr>
        <w:ind w:left="284" w:hanging="284"/>
        <w:rPr>
          <w:rFonts w:ascii="Times" w:hAnsi="Times" w:cs="Arial"/>
          <w:sz w:val="22"/>
          <w:szCs w:val="22"/>
        </w:rPr>
      </w:pPr>
      <w:r w:rsidRPr="004B3943">
        <w:rPr>
          <w:rFonts w:ascii="Times" w:hAnsi="Times" w:cs="Arial"/>
          <w:sz w:val="22"/>
          <w:szCs w:val="22"/>
        </w:rPr>
        <w:lastRenderedPageBreak/>
        <w:t>Quels sont les supports et les indicateurs du dialogue social ?</w:t>
      </w:r>
    </w:p>
    <w:p w14:paraId="66E345D2" w14:textId="77777777" w:rsidR="004B3943" w:rsidRPr="00816FBB" w:rsidRDefault="004B3943" w:rsidP="00816FBB">
      <w:pPr>
        <w:spacing w:after="240"/>
        <w:jc w:val="both"/>
        <w:rPr>
          <w:rFonts w:ascii="Times" w:hAnsi="Times" w:cs="Arial"/>
        </w:rPr>
      </w:pPr>
    </w:p>
    <w:p w14:paraId="21261C33" w14:textId="7FD899EF" w:rsidR="004B3943" w:rsidRPr="00816FBB" w:rsidRDefault="004B3943" w:rsidP="00816FBB">
      <w:pPr>
        <w:pStyle w:val="Paragraphedeliste"/>
        <w:numPr>
          <w:ilvl w:val="0"/>
          <w:numId w:val="8"/>
        </w:numPr>
        <w:spacing w:after="240"/>
        <w:ind w:left="426" w:hanging="426"/>
        <w:jc w:val="both"/>
        <w:rPr>
          <w:rFonts w:ascii="Times" w:hAnsi="Times" w:cs="Arial"/>
          <w:b/>
          <w:bCs/>
          <w:sz w:val="22"/>
          <w:szCs w:val="22"/>
        </w:rPr>
      </w:pPr>
      <w:r w:rsidRPr="00816FBB">
        <w:rPr>
          <w:rFonts w:ascii="Times" w:hAnsi="Times" w:cs="Arial"/>
          <w:b/>
          <w:bCs/>
          <w:sz w:val="22"/>
          <w:szCs w:val="22"/>
        </w:rPr>
        <w:t xml:space="preserve">Les différents supports du dialogue social : </w:t>
      </w:r>
      <w:r w:rsidRPr="00816FBB">
        <w:rPr>
          <w:rStyle w:val="Marquedannotation"/>
          <w:rFonts w:ascii="Times" w:hAnsi="Times"/>
          <w:b/>
          <w:sz w:val="22"/>
          <w:szCs w:val="22"/>
        </w:rPr>
        <w:t>s</w:t>
      </w:r>
      <w:r w:rsidRPr="00816FBB">
        <w:rPr>
          <w:rStyle w:val="Marquedannotation"/>
          <w:rFonts w:ascii="Times" w:hAnsi="Times"/>
          <w:b/>
          <w:sz w:val="22"/>
          <w:szCs w:val="22"/>
        </w:rPr>
        <w:t>ystème d’information de gestion des ressources humaines</w:t>
      </w:r>
      <w:r w:rsidRPr="00816FBB">
        <w:rPr>
          <w:rFonts w:ascii="Times" w:hAnsi="Times" w:cs="Arial"/>
          <w:b/>
          <w:bCs/>
          <w:sz w:val="22"/>
          <w:szCs w:val="22"/>
        </w:rPr>
        <w:t xml:space="preserve"> </w:t>
      </w:r>
      <w:r w:rsidRPr="00816FBB">
        <w:rPr>
          <w:rFonts w:ascii="Times" w:hAnsi="Times" w:cs="Arial"/>
          <w:b/>
          <w:bCs/>
          <w:sz w:val="22"/>
          <w:szCs w:val="22"/>
        </w:rPr>
        <w:t>(</w:t>
      </w:r>
      <w:r w:rsidRPr="00816FBB">
        <w:rPr>
          <w:rFonts w:ascii="Times" w:hAnsi="Times" w:cs="Arial"/>
          <w:b/>
          <w:bCs/>
          <w:sz w:val="22"/>
          <w:szCs w:val="22"/>
        </w:rPr>
        <w:t>SIRH</w:t>
      </w:r>
      <w:r w:rsidRPr="00816FBB">
        <w:rPr>
          <w:rFonts w:ascii="Times" w:hAnsi="Times" w:cs="Arial"/>
          <w:b/>
          <w:bCs/>
          <w:sz w:val="22"/>
          <w:szCs w:val="22"/>
        </w:rPr>
        <w:t>)</w:t>
      </w:r>
      <w:r w:rsidRPr="00816FBB">
        <w:rPr>
          <w:rFonts w:ascii="Times" w:hAnsi="Times" w:cs="Arial"/>
          <w:b/>
          <w:bCs/>
          <w:sz w:val="22"/>
          <w:szCs w:val="22"/>
        </w:rPr>
        <w:t xml:space="preserve">, Intranet et la messagerie électronique </w:t>
      </w:r>
    </w:p>
    <w:p w14:paraId="4E1487F9" w14:textId="77777777" w:rsidR="004B3943" w:rsidRPr="004B3943" w:rsidRDefault="004B3943" w:rsidP="004B3943">
      <w:pPr>
        <w:jc w:val="both"/>
        <w:rPr>
          <w:rFonts w:ascii="Times" w:hAnsi="Times" w:cs="Arial"/>
          <w:bCs/>
        </w:rPr>
      </w:pPr>
      <w:r w:rsidRPr="004B3943">
        <w:rPr>
          <w:rFonts w:ascii="Times" w:hAnsi="Times" w:cs="Arial"/>
          <w:bCs/>
        </w:rPr>
        <w:t>Le dialogue social est vecteur de cohésion et de performance globale au sein de l’organisation.</w:t>
      </w:r>
    </w:p>
    <w:p w14:paraId="04B1452F" w14:textId="77777777" w:rsidR="004B3943" w:rsidRPr="004B3943" w:rsidRDefault="004B3943" w:rsidP="004B3943">
      <w:pPr>
        <w:jc w:val="both"/>
        <w:rPr>
          <w:rFonts w:ascii="Times" w:hAnsi="Times" w:cs="Arial"/>
          <w:bCs/>
        </w:rPr>
      </w:pPr>
      <w:r w:rsidRPr="004B3943">
        <w:rPr>
          <w:rFonts w:ascii="Times" w:hAnsi="Times" w:cs="Arial"/>
          <w:bCs/>
        </w:rPr>
        <w:t xml:space="preserve">La mise en œuvre de supports numériques est indispensable pour assurer le développement du dialogue social : </w:t>
      </w:r>
    </w:p>
    <w:p w14:paraId="1FB7DADE" w14:textId="77F362FD" w:rsidR="004B3943" w:rsidRPr="004B3943" w:rsidRDefault="004B3943" w:rsidP="004B3943">
      <w:pPr>
        <w:pStyle w:val="Paragraphedeliste"/>
        <w:numPr>
          <w:ilvl w:val="0"/>
          <w:numId w:val="9"/>
        </w:numPr>
        <w:jc w:val="both"/>
        <w:rPr>
          <w:rFonts w:ascii="Times" w:hAnsi="Times" w:cs="Arial"/>
          <w:bCs/>
          <w:sz w:val="22"/>
          <w:szCs w:val="22"/>
        </w:rPr>
      </w:pPr>
      <w:r w:rsidRPr="004B3943">
        <w:rPr>
          <w:rFonts w:ascii="Times" w:hAnsi="Times" w:cs="Arial"/>
          <w:sz w:val="22"/>
          <w:szCs w:val="22"/>
        </w:rPr>
        <w:t>le SIRH</w:t>
      </w:r>
      <w:r w:rsidRPr="004B3943">
        <w:rPr>
          <w:rFonts w:ascii="Times" w:hAnsi="Times" w:cs="Arial"/>
          <w:bCs/>
          <w:sz w:val="22"/>
          <w:szCs w:val="22"/>
        </w:rPr>
        <w:t xml:space="preserve"> : le système d’information </w:t>
      </w:r>
      <w:r>
        <w:rPr>
          <w:rFonts w:ascii="Times" w:hAnsi="Times" w:cs="Arial"/>
          <w:bCs/>
          <w:sz w:val="22"/>
          <w:szCs w:val="22"/>
        </w:rPr>
        <w:t>des ressources h</w:t>
      </w:r>
      <w:r w:rsidRPr="004B3943">
        <w:rPr>
          <w:rFonts w:ascii="Times" w:hAnsi="Times" w:cs="Arial"/>
          <w:bCs/>
          <w:sz w:val="22"/>
          <w:szCs w:val="22"/>
        </w:rPr>
        <w:t>umaines permet de collecter des données RH pour les analyser et les diffuser à l’instance repr</w:t>
      </w:r>
      <w:r>
        <w:rPr>
          <w:rFonts w:ascii="Times" w:hAnsi="Times" w:cs="Arial"/>
          <w:bCs/>
          <w:sz w:val="22"/>
          <w:szCs w:val="22"/>
        </w:rPr>
        <w:t>ésentative des salariés, le CSE ;</w:t>
      </w:r>
    </w:p>
    <w:p w14:paraId="6B54325D" w14:textId="77777777" w:rsidR="004B3943" w:rsidRPr="004B3943" w:rsidRDefault="004B3943" w:rsidP="004B3943">
      <w:pPr>
        <w:pStyle w:val="Paragraphedeliste"/>
        <w:numPr>
          <w:ilvl w:val="0"/>
          <w:numId w:val="9"/>
        </w:numPr>
        <w:jc w:val="both"/>
        <w:rPr>
          <w:rFonts w:ascii="Times" w:hAnsi="Times" w:cs="Arial"/>
          <w:bCs/>
          <w:sz w:val="22"/>
          <w:szCs w:val="22"/>
        </w:rPr>
      </w:pPr>
      <w:r w:rsidRPr="004B3943">
        <w:rPr>
          <w:rFonts w:ascii="Times" w:hAnsi="Times" w:cs="Arial"/>
          <w:sz w:val="22"/>
          <w:szCs w:val="22"/>
        </w:rPr>
        <w:t>Intranet et la messagerie électronique</w:t>
      </w:r>
      <w:r w:rsidRPr="004B3943">
        <w:rPr>
          <w:rFonts w:ascii="Times" w:hAnsi="Times" w:cs="Arial"/>
          <w:bCs/>
          <w:sz w:val="22"/>
          <w:szCs w:val="22"/>
        </w:rPr>
        <w:t> : ces outils permettent de diffuser des informations et communiquer avec l’ensemble des acteurs de l’organisation : salarié, syndicats et la direction.</w:t>
      </w:r>
    </w:p>
    <w:p w14:paraId="181D1113" w14:textId="77777777" w:rsidR="004B3943" w:rsidRPr="004B3943" w:rsidRDefault="004B3943" w:rsidP="004B3943">
      <w:pPr>
        <w:rPr>
          <w:rFonts w:ascii="Times" w:hAnsi="Times" w:cs="Arial"/>
          <w:bCs/>
        </w:rPr>
      </w:pPr>
      <w:r w:rsidRPr="004B3943">
        <w:rPr>
          <w:rFonts w:ascii="Times" w:hAnsi="Times" w:cs="Arial"/>
          <w:bCs/>
        </w:rPr>
        <w:t xml:space="preserve">Les supports numériques représentent des moyens pour entretenir le dialogue au sein de l’organisation. </w:t>
      </w:r>
    </w:p>
    <w:p w14:paraId="2E24BFF9" w14:textId="77777777" w:rsidR="004B3943" w:rsidRPr="004B3943" w:rsidRDefault="004B3943" w:rsidP="004B3943">
      <w:pPr>
        <w:jc w:val="both"/>
        <w:rPr>
          <w:rFonts w:ascii="Times" w:hAnsi="Times" w:cs="Arial"/>
          <w:bCs/>
        </w:rPr>
      </w:pPr>
    </w:p>
    <w:p w14:paraId="4A1A1D69" w14:textId="5C26263C" w:rsidR="004B3943" w:rsidRPr="00816FBB" w:rsidRDefault="004B3943" w:rsidP="004B3943">
      <w:pPr>
        <w:pStyle w:val="Paragraphedeliste"/>
        <w:numPr>
          <w:ilvl w:val="0"/>
          <w:numId w:val="8"/>
        </w:numPr>
        <w:spacing w:after="240"/>
        <w:ind w:left="425" w:hanging="425"/>
        <w:jc w:val="both"/>
        <w:rPr>
          <w:rFonts w:ascii="Times" w:hAnsi="Times" w:cs="Arial"/>
          <w:b/>
          <w:bCs/>
          <w:sz w:val="22"/>
          <w:szCs w:val="22"/>
        </w:rPr>
      </w:pPr>
      <w:r w:rsidRPr="004B3943">
        <w:rPr>
          <w:rFonts w:ascii="Times" w:hAnsi="Times" w:cs="Arial"/>
          <w:b/>
          <w:bCs/>
          <w:sz w:val="22"/>
          <w:szCs w:val="22"/>
        </w:rPr>
        <w:t xml:space="preserve">Les indicateurs quantitatifs et qualitatifs nécessaires au dialogue social </w:t>
      </w:r>
    </w:p>
    <w:p w14:paraId="66E73456" w14:textId="4F29793F" w:rsidR="004B3943" w:rsidRPr="004B3943" w:rsidRDefault="004B3943" w:rsidP="004B3943">
      <w:pPr>
        <w:jc w:val="both"/>
        <w:rPr>
          <w:rFonts w:ascii="Times" w:hAnsi="Times" w:cs="Arial"/>
        </w:rPr>
      </w:pPr>
      <w:r w:rsidRPr="004B3943">
        <w:rPr>
          <w:rFonts w:ascii="Times" w:hAnsi="Times" w:cs="Arial"/>
        </w:rPr>
        <w:t>Différents supports permettent de collecter des données qui sont essentiel</w:t>
      </w:r>
      <w:r w:rsidR="00816FBB">
        <w:rPr>
          <w:rFonts w:ascii="Times" w:hAnsi="Times" w:cs="Arial"/>
        </w:rPr>
        <w:t>le</w:t>
      </w:r>
      <w:r w:rsidRPr="004B3943">
        <w:rPr>
          <w:rFonts w:ascii="Times" w:hAnsi="Times" w:cs="Arial"/>
        </w:rPr>
        <w:t xml:space="preserve">s pour le développement du dialogue social au sein de l’entreprise : </w:t>
      </w:r>
    </w:p>
    <w:p w14:paraId="4ECFB65C" w14:textId="77777777" w:rsidR="004B3943" w:rsidRPr="004B3943" w:rsidRDefault="004B3943" w:rsidP="004B3943">
      <w:pPr>
        <w:pStyle w:val="Paragraphedeliste"/>
        <w:numPr>
          <w:ilvl w:val="0"/>
          <w:numId w:val="10"/>
        </w:numPr>
        <w:jc w:val="both"/>
        <w:rPr>
          <w:rFonts w:ascii="Times" w:hAnsi="Times" w:cs="Arial"/>
          <w:bCs/>
          <w:sz w:val="22"/>
          <w:szCs w:val="22"/>
        </w:rPr>
      </w:pPr>
      <w:r w:rsidRPr="004B3943">
        <w:rPr>
          <w:rFonts w:ascii="Times" w:hAnsi="Times" w:cs="Arial"/>
          <w:sz w:val="22"/>
          <w:szCs w:val="22"/>
        </w:rPr>
        <w:t>l</w:t>
      </w:r>
      <w:r w:rsidRPr="004B3943">
        <w:rPr>
          <w:rFonts w:ascii="Times" w:hAnsi="Times" w:cs="Arial"/>
          <w:sz w:val="22"/>
          <w:szCs w:val="22"/>
        </w:rPr>
        <w:t>’analytique RH</w:t>
      </w:r>
      <w:r>
        <w:rPr>
          <w:rFonts w:ascii="Times" w:hAnsi="Times" w:cs="Arial"/>
          <w:sz w:val="22"/>
          <w:szCs w:val="22"/>
        </w:rPr>
        <w:t> </w:t>
      </w:r>
      <w:r>
        <w:rPr>
          <w:rFonts w:ascii="Times" w:hAnsi="Times" w:cs="Arial"/>
          <w:bCs/>
          <w:sz w:val="22"/>
          <w:szCs w:val="22"/>
        </w:rPr>
        <w:t xml:space="preserve">; </w:t>
      </w:r>
      <w:r w:rsidRPr="004B3943">
        <w:rPr>
          <w:rFonts w:ascii="Times" w:hAnsi="Times" w:cs="Arial"/>
          <w:bCs/>
          <w:sz w:val="22"/>
          <w:szCs w:val="22"/>
        </w:rPr>
        <w:t>la collecte de données RH au sein d’une organisation permet d’entamer des discussions sur différents sujets tels que la hausse de l’absentéisme ou l’aug</w:t>
      </w:r>
      <w:r>
        <w:rPr>
          <w:rFonts w:ascii="Times" w:hAnsi="Times" w:cs="Arial"/>
          <w:bCs/>
          <w:sz w:val="22"/>
          <w:szCs w:val="22"/>
        </w:rPr>
        <w:t>mentation des arrêts de travail ;</w:t>
      </w:r>
    </w:p>
    <w:p w14:paraId="1193CF93" w14:textId="77777777" w:rsidR="004B3943" w:rsidRPr="004B3943" w:rsidRDefault="004B3943" w:rsidP="004B3943">
      <w:pPr>
        <w:pStyle w:val="Paragraphedeliste"/>
        <w:ind w:left="0"/>
        <w:jc w:val="both"/>
        <w:rPr>
          <w:rFonts w:ascii="Times" w:hAnsi="Times" w:cs="Arial"/>
          <w:bCs/>
          <w:sz w:val="22"/>
          <w:szCs w:val="22"/>
        </w:rPr>
      </w:pPr>
    </w:p>
    <w:p w14:paraId="6E8F004F" w14:textId="77777777" w:rsidR="004B3943" w:rsidRPr="004B3943" w:rsidRDefault="004B3943" w:rsidP="004B3943">
      <w:pPr>
        <w:pStyle w:val="Paragraphedeliste"/>
        <w:numPr>
          <w:ilvl w:val="0"/>
          <w:numId w:val="10"/>
        </w:numPr>
        <w:jc w:val="both"/>
        <w:rPr>
          <w:rFonts w:ascii="Times" w:hAnsi="Times" w:cs="Arial"/>
          <w:bCs/>
          <w:sz w:val="22"/>
          <w:szCs w:val="22"/>
        </w:rPr>
      </w:pPr>
      <w:r w:rsidRPr="004B3943">
        <w:rPr>
          <w:rFonts w:ascii="Times" w:hAnsi="Times" w:cs="Arial"/>
          <w:sz w:val="22"/>
          <w:szCs w:val="22"/>
        </w:rPr>
        <w:t>l</w:t>
      </w:r>
      <w:r>
        <w:rPr>
          <w:rFonts w:ascii="Times" w:hAnsi="Times" w:cs="Arial"/>
          <w:sz w:val="22"/>
          <w:szCs w:val="22"/>
        </w:rPr>
        <w:t>e baromètre social ;</w:t>
      </w:r>
      <w:r w:rsidRPr="004B3943">
        <w:rPr>
          <w:rFonts w:ascii="Times" w:hAnsi="Times" w:cs="Arial"/>
          <w:bCs/>
          <w:sz w:val="22"/>
          <w:szCs w:val="22"/>
        </w:rPr>
        <w:t xml:space="preserve"> </w:t>
      </w:r>
      <w:r>
        <w:rPr>
          <w:rFonts w:ascii="Times" w:hAnsi="Times" w:cs="Arial"/>
          <w:bCs/>
          <w:sz w:val="22"/>
          <w:szCs w:val="22"/>
        </w:rPr>
        <w:t>c’</w:t>
      </w:r>
      <w:r w:rsidRPr="004B3943">
        <w:rPr>
          <w:rFonts w:ascii="Times" w:hAnsi="Times" w:cs="Arial"/>
          <w:bCs/>
          <w:sz w:val="22"/>
          <w:szCs w:val="22"/>
        </w:rPr>
        <w:t>est un outil qui permet de mesurer la performance d’un service ou d’une e</w:t>
      </w:r>
      <w:r>
        <w:rPr>
          <w:rFonts w:ascii="Times" w:hAnsi="Times" w:cs="Arial"/>
          <w:bCs/>
          <w:sz w:val="22"/>
          <w:szCs w:val="22"/>
        </w:rPr>
        <w:t>ntreprise ;</w:t>
      </w:r>
      <w:r w:rsidRPr="004B3943">
        <w:rPr>
          <w:rFonts w:ascii="Times" w:hAnsi="Times" w:cs="Arial"/>
          <w:bCs/>
          <w:sz w:val="22"/>
          <w:szCs w:val="22"/>
        </w:rPr>
        <w:t xml:space="preserve"> </w:t>
      </w:r>
    </w:p>
    <w:p w14:paraId="7F0BC298" w14:textId="77777777" w:rsidR="004B3943" w:rsidRPr="004B3943" w:rsidRDefault="004B3943" w:rsidP="004B3943">
      <w:pPr>
        <w:pStyle w:val="Paragraphedeliste"/>
        <w:ind w:left="0"/>
        <w:rPr>
          <w:rFonts w:ascii="Times" w:hAnsi="Times" w:cs="Arial"/>
          <w:bCs/>
          <w:sz w:val="22"/>
          <w:szCs w:val="22"/>
        </w:rPr>
      </w:pPr>
    </w:p>
    <w:p w14:paraId="013530A4" w14:textId="50BD763D" w:rsidR="004B3943" w:rsidRPr="004B3943" w:rsidRDefault="004B3943" w:rsidP="004B3943">
      <w:pPr>
        <w:pStyle w:val="Paragraphedeliste"/>
        <w:numPr>
          <w:ilvl w:val="0"/>
          <w:numId w:val="10"/>
        </w:numPr>
        <w:jc w:val="both"/>
        <w:rPr>
          <w:rFonts w:ascii="Times" w:hAnsi="Times" w:cs="Arial"/>
          <w:bCs/>
          <w:sz w:val="22"/>
          <w:szCs w:val="22"/>
        </w:rPr>
      </w:pPr>
      <w:r w:rsidRPr="004B3943">
        <w:rPr>
          <w:rFonts w:ascii="Times" w:hAnsi="Times" w:cs="Arial"/>
          <w:sz w:val="22"/>
          <w:szCs w:val="22"/>
        </w:rPr>
        <w:t>la b</w:t>
      </w:r>
      <w:r w:rsidRPr="004B3943">
        <w:rPr>
          <w:rFonts w:ascii="Times" w:hAnsi="Times" w:cs="Arial"/>
          <w:sz w:val="22"/>
          <w:szCs w:val="22"/>
        </w:rPr>
        <w:t>ase de données économiques et sociales (BDES) </w:t>
      </w:r>
      <w:r w:rsidRPr="004B3943">
        <w:rPr>
          <w:rFonts w:ascii="Times" w:hAnsi="Times" w:cs="Arial"/>
          <w:bCs/>
          <w:sz w:val="22"/>
          <w:szCs w:val="22"/>
        </w:rPr>
        <w:t xml:space="preserve">: la BDES va permettre au CSE de démontrer des situations à risques pour les salariés que l’entreprise doit améliorer et </w:t>
      </w:r>
      <w:r w:rsidR="00816FBB">
        <w:rPr>
          <w:rFonts w:ascii="Times" w:hAnsi="Times" w:cs="Arial"/>
          <w:bCs/>
          <w:sz w:val="22"/>
          <w:szCs w:val="22"/>
        </w:rPr>
        <w:t>résoudre</w:t>
      </w:r>
      <w:r w:rsidRPr="004B3943">
        <w:rPr>
          <w:rFonts w:ascii="Times" w:hAnsi="Times" w:cs="Arial"/>
          <w:bCs/>
          <w:sz w:val="22"/>
          <w:szCs w:val="22"/>
        </w:rPr>
        <w:t>.</w:t>
      </w:r>
    </w:p>
    <w:p w14:paraId="7097BAF3" w14:textId="77777777" w:rsidR="004B3943" w:rsidRPr="004B3943" w:rsidRDefault="004B3943" w:rsidP="004B3943">
      <w:pPr>
        <w:pStyle w:val="Paragraphedeliste"/>
        <w:ind w:left="0"/>
        <w:rPr>
          <w:rFonts w:ascii="Times" w:hAnsi="Times" w:cs="Arial"/>
          <w:bCs/>
          <w:sz w:val="22"/>
          <w:szCs w:val="22"/>
        </w:rPr>
      </w:pPr>
    </w:p>
    <w:p w14:paraId="07EBDF0A" w14:textId="77777777" w:rsidR="004B3943" w:rsidRPr="004B3943" w:rsidRDefault="004B3943" w:rsidP="004B3943">
      <w:pPr>
        <w:jc w:val="both"/>
        <w:rPr>
          <w:rFonts w:ascii="Times" w:hAnsi="Times" w:cs="Arial"/>
          <w:bCs/>
        </w:rPr>
      </w:pPr>
      <w:r w:rsidRPr="004B3943">
        <w:rPr>
          <w:rFonts w:ascii="Times" w:hAnsi="Times" w:cs="Arial"/>
        </w:rPr>
        <w:t>Le bilan social</w:t>
      </w:r>
      <w:r w:rsidRPr="004B3943">
        <w:rPr>
          <w:rFonts w:ascii="Times" w:hAnsi="Times" w:cs="Arial"/>
        </w:rPr>
        <w:t xml:space="preserve"> </w:t>
      </w:r>
      <w:r w:rsidRPr="004B3943">
        <w:rPr>
          <w:rFonts w:ascii="Times" w:hAnsi="Times" w:cs="Arial"/>
          <w:bCs/>
        </w:rPr>
        <w:t xml:space="preserve">comporte des informations sur l’emploi, la rémunération, les conditions de travail, la formation et les relations professionnelles. Ces informations permettent d’apprécier la situation sociale de l’entreprise et mesurer les changements intervenus au cours des deux dernières années. </w:t>
      </w:r>
    </w:p>
    <w:p w14:paraId="0031434C" w14:textId="3E95C422" w:rsidR="004B3943" w:rsidRDefault="004B3943" w:rsidP="004B3943">
      <w:pPr>
        <w:jc w:val="both"/>
        <w:rPr>
          <w:rFonts w:ascii="Times" w:hAnsi="Times" w:cs="Arial"/>
          <w:bCs/>
        </w:rPr>
      </w:pPr>
      <w:r w:rsidRPr="004B3943">
        <w:rPr>
          <w:rFonts w:ascii="Times" w:hAnsi="Times" w:cs="Arial"/>
          <w:bCs/>
        </w:rPr>
        <w:t>Ces supports permettent de collecter des données sociales et économiques sur la situation sociale de l’entreprise. Ces données contribuent à mettre en exergue les situations à améliorer pour le bien-être des salariés et à soutenir le dialogue social au sein de l’organisation.</w:t>
      </w:r>
    </w:p>
    <w:p w14:paraId="12921B41" w14:textId="77777777" w:rsidR="00816FBB" w:rsidRPr="004B3943" w:rsidRDefault="00816FBB" w:rsidP="004B3943">
      <w:pPr>
        <w:jc w:val="both"/>
        <w:rPr>
          <w:rFonts w:ascii="Times" w:hAnsi="Times" w:cs="Arial"/>
          <w:bCs/>
        </w:rPr>
      </w:pPr>
    </w:p>
    <w:p w14:paraId="7CEF7C05" w14:textId="77777777" w:rsidR="004B3943" w:rsidRPr="004B3943" w:rsidRDefault="004B3943" w:rsidP="004B3943">
      <w:pPr>
        <w:pStyle w:val="Titre1STMG"/>
        <w:numPr>
          <w:ilvl w:val="0"/>
          <w:numId w:val="5"/>
        </w:numPr>
        <w:ind w:left="284" w:hanging="284"/>
        <w:rPr>
          <w:rFonts w:ascii="Times" w:hAnsi="Times" w:cs="Arial"/>
          <w:sz w:val="22"/>
          <w:szCs w:val="22"/>
        </w:rPr>
      </w:pPr>
      <w:r w:rsidRPr="004B3943">
        <w:rPr>
          <w:rFonts w:ascii="Times" w:hAnsi="Times" w:cs="Arial"/>
          <w:sz w:val="22"/>
          <w:szCs w:val="22"/>
        </w:rPr>
        <w:lastRenderedPageBreak/>
        <w:t>Qu’est-ce que la négociation collective ?</w:t>
      </w:r>
    </w:p>
    <w:p w14:paraId="0A75BB9D" w14:textId="77777777" w:rsidR="004B3943" w:rsidRPr="004B3943" w:rsidRDefault="004B3943" w:rsidP="004B3943">
      <w:pPr>
        <w:jc w:val="both"/>
        <w:rPr>
          <w:rFonts w:ascii="Times" w:hAnsi="Times" w:cs="Arial"/>
          <w:bCs/>
        </w:rPr>
      </w:pPr>
    </w:p>
    <w:p w14:paraId="61AB3832" w14:textId="77777777" w:rsidR="004B3943" w:rsidRPr="004B3943" w:rsidRDefault="004B3943" w:rsidP="004B3943">
      <w:pPr>
        <w:pStyle w:val="Paragraphedeliste"/>
        <w:numPr>
          <w:ilvl w:val="0"/>
          <w:numId w:val="11"/>
        </w:numPr>
        <w:spacing w:after="240"/>
        <w:ind w:left="425" w:hanging="425"/>
        <w:jc w:val="both"/>
        <w:rPr>
          <w:rFonts w:ascii="Times" w:hAnsi="Times" w:cs="Arial"/>
          <w:b/>
          <w:bCs/>
          <w:sz w:val="22"/>
          <w:szCs w:val="22"/>
        </w:rPr>
      </w:pPr>
      <w:r w:rsidRPr="004B3943">
        <w:rPr>
          <w:rFonts w:ascii="Times" w:hAnsi="Times" w:cs="Arial"/>
          <w:b/>
          <w:bCs/>
          <w:sz w:val="22"/>
          <w:szCs w:val="22"/>
        </w:rPr>
        <w:t>La négociation collective, un appui au dialogue social</w:t>
      </w:r>
    </w:p>
    <w:p w14:paraId="0097BEEB" w14:textId="77777777" w:rsidR="004B3943" w:rsidRPr="004B3943" w:rsidRDefault="004B3943" w:rsidP="004B3943">
      <w:pPr>
        <w:jc w:val="both"/>
        <w:rPr>
          <w:rFonts w:ascii="Times" w:hAnsi="Times" w:cs="Arial"/>
        </w:rPr>
      </w:pPr>
      <w:r w:rsidRPr="004B3943">
        <w:rPr>
          <w:rFonts w:ascii="Times" w:hAnsi="Times" w:cs="Arial"/>
          <w:bCs/>
        </w:rPr>
        <w:t>La négociation collective est un e</w:t>
      </w:r>
      <w:r w:rsidRPr="004B3943">
        <w:rPr>
          <w:rFonts w:ascii="Times" w:hAnsi="Times" w:cs="Arial"/>
        </w:rPr>
        <w:t xml:space="preserve">nsemble d’échange entre la direction et les instances représentatives des salariés dans l’objectif de conclure un accord collectif. </w:t>
      </w:r>
      <w:r>
        <w:rPr>
          <w:rFonts w:ascii="Times" w:hAnsi="Times" w:cs="Arial"/>
        </w:rPr>
        <w:t>C’</w:t>
      </w:r>
      <w:r w:rsidRPr="004B3943">
        <w:rPr>
          <w:rFonts w:ascii="Times" w:hAnsi="Times" w:cs="Arial"/>
        </w:rPr>
        <w:t>est une forme de dialogue social qui incite les différentes parties prenantes à garantir une cohésion sociale et améliorer les conditions de travail des salariés.</w:t>
      </w:r>
    </w:p>
    <w:p w14:paraId="5883EE4C" w14:textId="77777777" w:rsidR="004B3943" w:rsidRPr="004B3943" w:rsidRDefault="004B3943" w:rsidP="004B3943">
      <w:pPr>
        <w:pStyle w:val="Paragraphedeliste"/>
        <w:numPr>
          <w:ilvl w:val="0"/>
          <w:numId w:val="11"/>
        </w:numPr>
        <w:spacing w:after="240"/>
        <w:ind w:left="425" w:hanging="425"/>
        <w:jc w:val="both"/>
        <w:rPr>
          <w:rFonts w:ascii="Times" w:hAnsi="Times" w:cs="Arial"/>
          <w:b/>
          <w:bCs/>
          <w:sz w:val="22"/>
          <w:szCs w:val="22"/>
        </w:rPr>
      </w:pPr>
      <w:r w:rsidRPr="004B3943">
        <w:rPr>
          <w:rFonts w:ascii="Times" w:hAnsi="Times" w:cs="Arial"/>
          <w:b/>
          <w:bCs/>
          <w:sz w:val="22"/>
          <w:szCs w:val="22"/>
        </w:rPr>
        <w:t>Les enjeux de la négociation collective dans les organisations</w:t>
      </w:r>
    </w:p>
    <w:p w14:paraId="5859CAE7" w14:textId="77777777" w:rsidR="004B3943" w:rsidRPr="004B3943" w:rsidRDefault="004B3943" w:rsidP="004B3943">
      <w:pPr>
        <w:jc w:val="both"/>
        <w:rPr>
          <w:rFonts w:ascii="Times" w:hAnsi="Times" w:cs="Arial"/>
        </w:rPr>
      </w:pPr>
      <w:r w:rsidRPr="004B3943">
        <w:rPr>
          <w:rFonts w:ascii="Times" w:hAnsi="Times" w:cs="Arial"/>
        </w:rPr>
        <w:t xml:space="preserve">Les enjeux de la négociation collective sont de garantir une justice sociale et d’améliorer les conditions de travail des salariés. Pour l’organisation, la mise en place de la négociation collective est un moyen de prouver à ses salariés l’intérêt qu’elle porte à leurs situations. Lors d’une négociation collective, l’écoute, les échanges et les engagements sont les sources d’un dialogue social satisfaisant entre les parties prenantes. </w:t>
      </w:r>
    </w:p>
    <w:p w14:paraId="07C9D770" w14:textId="5CB8E50A" w:rsidR="004B3943" w:rsidRPr="004B3943" w:rsidRDefault="004B3943" w:rsidP="004B3943">
      <w:pPr>
        <w:jc w:val="both"/>
        <w:rPr>
          <w:rFonts w:ascii="Times" w:hAnsi="Times" w:cs="Arial"/>
        </w:rPr>
      </w:pPr>
      <w:r>
        <w:rPr>
          <w:rFonts w:ascii="Times" w:hAnsi="Times" w:cs="Arial"/>
        </w:rPr>
        <w:t>L</w:t>
      </w:r>
      <w:r w:rsidRPr="004B3943">
        <w:rPr>
          <w:rFonts w:ascii="Times" w:hAnsi="Times" w:cs="Arial"/>
        </w:rPr>
        <w:t>e dialogue social est un moyen de préserver la cohésion au sein de l’organisation. Différents supports et données permettent d</w:t>
      </w:r>
      <w:r>
        <w:rPr>
          <w:rFonts w:ascii="Times" w:hAnsi="Times" w:cs="Arial"/>
        </w:rPr>
        <w:t>’apprécier la situation sociale</w:t>
      </w:r>
      <w:r w:rsidRPr="004B3943">
        <w:rPr>
          <w:rFonts w:ascii="Times" w:hAnsi="Times" w:cs="Arial"/>
        </w:rPr>
        <w:t xml:space="preserve"> de l’organisation afin de</w:t>
      </w:r>
      <w:r w:rsidR="00816FBB">
        <w:rPr>
          <w:rFonts w:ascii="Times" w:hAnsi="Times" w:cs="Arial"/>
        </w:rPr>
        <w:t xml:space="preserve"> remédier</w:t>
      </w:r>
      <w:r w:rsidRPr="004B3943">
        <w:rPr>
          <w:rFonts w:ascii="Times" w:hAnsi="Times" w:cs="Arial"/>
        </w:rPr>
        <w:t xml:space="preserve"> </w:t>
      </w:r>
      <w:r w:rsidR="00816FBB">
        <w:rPr>
          <w:rFonts w:ascii="Times" w:hAnsi="Times" w:cs="Arial"/>
        </w:rPr>
        <w:t>aux</w:t>
      </w:r>
      <w:r w:rsidRPr="004B3943">
        <w:rPr>
          <w:rFonts w:ascii="Times" w:hAnsi="Times" w:cs="Arial"/>
        </w:rPr>
        <w:t xml:space="preserve"> problématiques si elles existent. L’enjeu d’une cohésion social</w:t>
      </w:r>
      <w:r>
        <w:rPr>
          <w:rFonts w:ascii="Times" w:hAnsi="Times" w:cs="Arial"/>
        </w:rPr>
        <w:t>e</w:t>
      </w:r>
      <w:r w:rsidRPr="004B3943">
        <w:rPr>
          <w:rFonts w:ascii="Times" w:hAnsi="Times" w:cs="Arial"/>
        </w:rPr>
        <w:t xml:space="preserve"> influencée par un dialogue social entre les parties prenantes est la garantie d’une performance globale pour l’organisation. </w:t>
      </w:r>
    </w:p>
    <w:p w14:paraId="655A9D28" w14:textId="77777777" w:rsidR="00CA5B74" w:rsidRPr="004B3943" w:rsidRDefault="00CA5B74" w:rsidP="004B3943">
      <w:pPr>
        <w:rPr>
          <w:rFonts w:ascii="Times" w:hAnsi="Times"/>
        </w:rPr>
      </w:pPr>
    </w:p>
    <w:sectPr w:rsidR="00CA5B74" w:rsidRPr="004B394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CBF7B5" w14:textId="77777777" w:rsidR="00CA6999" w:rsidRDefault="00CA6999" w:rsidP="00717D86">
      <w:pPr>
        <w:spacing w:after="0" w:line="240" w:lineRule="auto"/>
      </w:pPr>
      <w:r>
        <w:separator/>
      </w:r>
    </w:p>
  </w:endnote>
  <w:endnote w:type="continuationSeparator" w:id="0">
    <w:p w14:paraId="5C3115AA" w14:textId="77777777" w:rsidR="00CA6999" w:rsidRDefault="00CA6999"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F98D" w14:textId="77777777" w:rsidR="00717D86" w:rsidRDefault="00717D86">
    <w:pPr>
      <w:pStyle w:val="Pieddepage"/>
    </w:pPr>
    <w:r>
      <w:t>© Delagrave</w:t>
    </w:r>
  </w:p>
  <w:p w14:paraId="11C993CE" w14:textId="77777777" w:rsidR="00717D86" w:rsidRDefault="00717D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E6561A" w14:textId="77777777" w:rsidR="00CA6999" w:rsidRDefault="00CA6999" w:rsidP="00717D86">
      <w:pPr>
        <w:spacing w:after="0" w:line="240" w:lineRule="auto"/>
      </w:pPr>
      <w:r>
        <w:separator/>
      </w:r>
    </w:p>
  </w:footnote>
  <w:footnote w:type="continuationSeparator" w:id="0">
    <w:p w14:paraId="4E9EEB82" w14:textId="77777777" w:rsidR="00CA6999" w:rsidRDefault="00CA6999"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EC2949"/>
    <w:multiLevelType w:val="hybridMultilevel"/>
    <w:tmpl w:val="2626DEC6"/>
    <w:lvl w:ilvl="0" w:tplc="664E4DCE">
      <w:start w:val="1"/>
      <w:numFmt w:val="upp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1C3613D"/>
    <w:multiLevelType w:val="hybridMultilevel"/>
    <w:tmpl w:val="29DE9C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2947DE"/>
    <w:multiLevelType w:val="hybridMultilevel"/>
    <w:tmpl w:val="98CEA6BC"/>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5B6E6B"/>
    <w:multiLevelType w:val="hybridMultilevel"/>
    <w:tmpl w:val="7FEE35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122509"/>
    <w:multiLevelType w:val="hybridMultilevel"/>
    <w:tmpl w:val="1EE4790E"/>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7F6E70"/>
    <w:multiLevelType w:val="hybridMultilevel"/>
    <w:tmpl w:val="7D405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282656"/>
    <w:multiLevelType w:val="hybridMultilevel"/>
    <w:tmpl w:val="232A6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E30D2C"/>
    <w:multiLevelType w:val="hybridMultilevel"/>
    <w:tmpl w:val="025E4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EE199F"/>
    <w:multiLevelType w:val="hybridMultilevel"/>
    <w:tmpl w:val="F52085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4D3199"/>
    <w:multiLevelType w:val="hybridMultilevel"/>
    <w:tmpl w:val="1514EBDC"/>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514C05"/>
    <w:multiLevelType w:val="hybridMultilevel"/>
    <w:tmpl w:val="0E261D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1"/>
  </w:num>
  <w:num w:numId="6">
    <w:abstractNumId w:val="3"/>
  </w:num>
  <w:num w:numId="7">
    <w:abstractNumId w:val="4"/>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4B3943"/>
    <w:rsid w:val="00717D86"/>
    <w:rsid w:val="00816FBB"/>
    <w:rsid w:val="00CA5B74"/>
    <w:rsid w:val="00CA69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4B3943"/>
    <w:pPr>
      <w:spacing w:after="0" w:line="240" w:lineRule="auto"/>
      <w:ind w:left="720"/>
      <w:contextualSpacing/>
    </w:pPr>
    <w:rPr>
      <w:rFonts w:ascii="Times New Roman" w:eastAsia="Times New Roman" w:hAnsi="Times New Roman"/>
      <w:sz w:val="24"/>
      <w:szCs w:val="24"/>
      <w:lang w:eastAsia="fr-FR"/>
    </w:rPr>
  </w:style>
  <w:style w:type="paragraph" w:customStyle="1" w:styleId="Titre1STMG">
    <w:name w:val="Titre 1 STMG"/>
    <w:basedOn w:val="Normal"/>
    <w:qFormat/>
    <w:rsid w:val="004B3943"/>
    <w:pPr>
      <w:spacing w:after="0" w:line="240" w:lineRule="auto"/>
    </w:pPr>
    <w:rPr>
      <w:rFonts w:ascii="Times New Roman" w:eastAsia="Times New Roman" w:hAnsi="Times New Roman"/>
      <w:b/>
      <w:bCs/>
      <w:sz w:val="24"/>
      <w:szCs w:val="24"/>
      <w:u w:val="single"/>
      <w:lang w:eastAsia="fr-FR"/>
    </w:rPr>
  </w:style>
  <w:style w:type="character" w:styleId="Marquedannotation">
    <w:name w:val="annotation reference"/>
    <w:basedOn w:val="Policepardfaut"/>
    <w:uiPriority w:val="99"/>
    <w:semiHidden/>
    <w:unhideWhenUsed/>
    <w:rsid w:val="004B394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4B3943"/>
    <w:pPr>
      <w:spacing w:after="0" w:line="240" w:lineRule="auto"/>
      <w:ind w:left="720"/>
      <w:contextualSpacing/>
    </w:pPr>
    <w:rPr>
      <w:rFonts w:ascii="Times New Roman" w:eastAsia="Times New Roman" w:hAnsi="Times New Roman"/>
      <w:sz w:val="24"/>
      <w:szCs w:val="24"/>
      <w:lang w:eastAsia="fr-FR"/>
    </w:rPr>
  </w:style>
  <w:style w:type="paragraph" w:customStyle="1" w:styleId="Titre1STMG">
    <w:name w:val="Titre 1 STMG"/>
    <w:basedOn w:val="Normal"/>
    <w:qFormat/>
    <w:rsid w:val="004B3943"/>
    <w:pPr>
      <w:spacing w:after="0" w:line="240" w:lineRule="auto"/>
    </w:pPr>
    <w:rPr>
      <w:rFonts w:ascii="Times New Roman" w:eastAsia="Times New Roman" w:hAnsi="Times New Roman"/>
      <w:b/>
      <w:bCs/>
      <w:sz w:val="24"/>
      <w:szCs w:val="24"/>
      <w:u w:val="single"/>
      <w:lang w:eastAsia="fr-FR"/>
    </w:rPr>
  </w:style>
  <w:style w:type="character" w:styleId="Marquedannotation">
    <w:name w:val="annotation reference"/>
    <w:basedOn w:val="Policepardfaut"/>
    <w:uiPriority w:val="99"/>
    <w:semiHidden/>
    <w:unhideWhenUsed/>
    <w:rsid w:val="004B39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2C936-EF0F-4BDA-9758-F27AE1DC6E1D}"/>
</file>

<file path=customXml/itemProps2.xml><?xml version="1.0" encoding="utf-8"?>
<ds:datastoreItem xmlns:ds="http://schemas.openxmlformats.org/officeDocument/2006/customXml" ds:itemID="{31B290A4-0F7D-4688-8854-635F2891F88F}"/>
</file>

<file path=customXml/itemProps3.xml><?xml version="1.0" encoding="utf-8"?>
<ds:datastoreItem xmlns:ds="http://schemas.openxmlformats.org/officeDocument/2006/customXml" ds:itemID="{B8ECC602-77CB-44C6-804D-D78488DD46A9}"/>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4607</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2</cp:revision>
  <dcterms:created xsi:type="dcterms:W3CDTF">2020-03-23T17:29:00Z</dcterms:created>
  <dcterms:modified xsi:type="dcterms:W3CDTF">2020-03-23T17:29:00Z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