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CB2DB8"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7104BD29" w14:textId="77777777" w:rsidR="00136335" w:rsidRDefault="00136335" w:rsidP="00136335">
      <w:pPr>
        <w:pStyle w:val="Titre1"/>
        <w:jc w:val="left"/>
      </w:pPr>
      <w:r>
        <w:t xml:space="preserve">Chapitre 6 : L’évaluation des immobilisations à la clôture de l’exercice </w:t>
      </w:r>
    </w:p>
    <w:p w14:paraId="5DD9BCB6" w14:textId="20B4DD98" w:rsidR="00136335" w:rsidRDefault="00136335" w:rsidP="00136335">
      <w:r>
        <w:t>À</w:t>
      </w:r>
      <w:r>
        <w:t xml:space="preserve"> l’inventaire, tous les biens doivent être évalués afin de donner une image fidèle du patrimoine de l’entreprise. Les immobilisations sont donc concernés par cette opération.</w:t>
      </w:r>
    </w:p>
    <w:p w14:paraId="052984D6" w14:textId="725D09A0" w:rsidR="00136335" w:rsidRDefault="00136335" w:rsidP="00136335">
      <w:pPr>
        <w:pStyle w:val="Titre2"/>
        <w:jc w:val="left"/>
      </w:pPr>
      <w:r>
        <w:t>L’évaluation des immobilisations à l’inventaire</w:t>
      </w:r>
      <w:r>
        <w:t xml:space="preserve"> pour une image fidèle</w:t>
      </w:r>
    </w:p>
    <w:p w14:paraId="24D9BCBE" w14:textId="77777777" w:rsidR="00136335" w:rsidRDefault="00136335" w:rsidP="00136335">
      <w:pPr>
        <w:pStyle w:val="Titre3"/>
      </w:pPr>
      <w:r>
        <w:t>Pourquoi faut-il faire une évaluation ?</w:t>
      </w:r>
    </w:p>
    <w:p w14:paraId="502A84F0" w14:textId="7ABD14E9" w:rsidR="00136335" w:rsidRDefault="00136335" w:rsidP="00136335">
      <w:r>
        <w:t xml:space="preserve">L’immobilisation procure des avantages économiques à l’entreprise. Mais lors de cet usage, le bien perd de sa valeur. L’immobilisation figure au bilan pour son coût d’acquisition (en vertu du principe du coût historique). Il faut donc évaluer la perte de valeur du bien pour respecter le principe de prudence. En effet, tout ce qui est de nature à faire diminuer le patrimoine doit être constaté. En outre, le bilan doit donner une image fidèle de la réalité. </w:t>
      </w:r>
    </w:p>
    <w:p w14:paraId="42D83969" w14:textId="77777777" w:rsidR="00136335" w:rsidRDefault="00136335" w:rsidP="00136335"/>
    <w:p w14:paraId="0A3AC2B5" w14:textId="77777777" w:rsidR="00136335" w:rsidRDefault="00136335" w:rsidP="00136335">
      <w:pPr>
        <w:pStyle w:val="Titre3"/>
      </w:pPr>
      <w:r>
        <w:t>L’évaluation de l’immobilisation</w:t>
      </w:r>
    </w:p>
    <w:p w14:paraId="0B4C533A" w14:textId="77777777" w:rsidR="00136335" w:rsidRDefault="00136335" w:rsidP="00136335">
      <w:r>
        <w:t>Elle consiste à évaluer la perte de valeur du bien. Cette dépréciation a plusieurs origines, l’usage, l’obsolescence. Quand elle est irréversible, dès l’acquisition de l’immobilisation, on pratique un amortissement. Le tableau d’amortissement suit l’évolution de la valeur de l’immobilisation durant toute sa durée de vie.</w:t>
      </w:r>
    </w:p>
    <w:p w14:paraId="0A2197C3" w14:textId="77777777" w:rsidR="00136335" w:rsidRDefault="00136335" w:rsidP="00136335">
      <w:pPr>
        <w:pStyle w:val="Titre3"/>
      </w:pPr>
      <w:r>
        <w:t>L’amortissement linéaire</w:t>
      </w:r>
    </w:p>
    <w:p w14:paraId="6BD56662" w14:textId="37B817DF" w:rsidR="00136335" w:rsidRDefault="00136335" w:rsidP="00136335">
      <w:r>
        <w:t>Cette méthode d’amortissement constate une dépréciation annuelle constante.</w:t>
      </w:r>
      <w:r>
        <w:t xml:space="preserve"> </w:t>
      </w:r>
      <w:r>
        <w:t>On appelle annuité d‘amortissement, la perte de valeur annuelle.</w:t>
      </w:r>
      <w:r>
        <w:t xml:space="preserve"> </w:t>
      </w:r>
      <w:r>
        <w:t>Cette annuité se calcule en appliquant un taux d’amortissement à la valeur amortissable.</w:t>
      </w:r>
    </w:p>
    <w:p w14:paraId="587381E9" w14:textId="4DCD8143" w:rsidR="00136335" w:rsidRPr="00136335" w:rsidRDefault="00136335" w:rsidP="00C04123">
      <w:pPr>
        <w:jc w:val="center"/>
        <w:rPr>
          <w:b/>
          <w:bCs/>
        </w:rPr>
      </w:pPr>
      <w:r w:rsidRPr="00136335">
        <w:rPr>
          <w:b/>
          <w:bCs/>
        </w:rPr>
        <w:t>Valeur amortissable = Coût d’acquisition de l’immobilisation – valeur résiduelle</w:t>
      </w:r>
      <w:r w:rsidR="00C04123">
        <w:rPr>
          <w:b/>
          <w:bCs/>
        </w:rPr>
        <w:br/>
      </w:r>
      <w:r w:rsidRPr="00136335">
        <w:rPr>
          <w:b/>
          <w:bCs/>
        </w:rPr>
        <w:t>Taux d’amortissement (en %) = 100/ durée de vie de l’immobilisation</w:t>
      </w:r>
      <w:r w:rsidR="00C04123">
        <w:rPr>
          <w:b/>
          <w:bCs/>
        </w:rPr>
        <w:br/>
      </w:r>
      <w:r w:rsidRPr="00136335">
        <w:rPr>
          <w:b/>
          <w:bCs/>
        </w:rPr>
        <w:t>Annuité = valeur amortissable x taux d’amortissement</w:t>
      </w:r>
    </w:p>
    <w:p w14:paraId="624BA202" w14:textId="77777777" w:rsidR="00136335" w:rsidRDefault="00136335" w:rsidP="00136335">
      <w:r>
        <w:t xml:space="preserve">En cas d’acquisition du bien en cours d’exercice comptable on utilise un prorata </w:t>
      </w:r>
      <w:proofErr w:type="spellStart"/>
      <w:r>
        <w:t>temporis</w:t>
      </w:r>
      <w:proofErr w:type="spellEnd"/>
      <w:r>
        <w:t xml:space="preserve">. Le prorata </w:t>
      </w:r>
      <w:proofErr w:type="spellStart"/>
      <w:r>
        <w:t>temporis</w:t>
      </w:r>
      <w:proofErr w:type="spellEnd"/>
      <w:r>
        <w:t xml:space="preserve"> est destiné à tenir compte de la réelle durée d’utilisation du bien sur l’exercice comptable. </w:t>
      </w:r>
      <w:r>
        <w:lastRenderedPageBreak/>
        <w:t xml:space="preserve">Il faut calculer un prorata </w:t>
      </w:r>
      <w:proofErr w:type="spellStart"/>
      <w:r>
        <w:t>temporis</w:t>
      </w:r>
      <w:proofErr w:type="spellEnd"/>
      <w:r>
        <w:t xml:space="preserve"> (PT) pour l’année d’acquisition (PT1) et un autre pour la dernière année d’utilisation (PT2).</w:t>
      </w:r>
    </w:p>
    <w:p w14:paraId="581A7471" w14:textId="58751942" w:rsidR="00136335" w:rsidRPr="00136335" w:rsidRDefault="00136335" w:rsidP="00C04123">
      <w:pPr>
        <w:jc w:val="center"/>
        <w:rPr>
          <w:b/>
          <w:bCs/>
        </w:rPr>
      </w:pPr>
      <w:r w:rsidRPr="00136335">
        <w:rPr>
          <w:b/>
          <w:bCs/>
        </w:rPr>
        <w:t>PT1 = nombre de jours d’utilisation depuis la date de mise en service jusqu’au 31/12/360</w:t>
      </w:r>
      <w:r w:rsidR="00C04123">
        <w:rPr>
          <w:b/>
          <w:bCs/>
        </w:rPr>
        <w:br/>
      </w:r>
      <w:r w:rsidRPr="00136335">
        <w:rPr>
          <w:b/>
          <w:bCs/>
        </w:rPr>
        <w:t>PT2 = nombre de jours d’utilisation depuis le 01/01 jusqu’à la date anniversaire/360</w:t>
      </w:r>
      <w:r w:rsidR="00C04123">
        <w:rPr>
          <w:b/>
          <w:bCs/>
        </w:rPr>
        <w:br/>
      </w:r>
      <w:r w:rsidRPr="00136335">
        <w:rPr>
          <w:b/>
          <w:bCs/>
        </w:rPr>
        <w:t>PT1 + PT2 = 1</w:t>
      </w:r>
    </w:p>
    <w:p w14:paraId="09F1EC85" w14:textId="048E2180" w:rsidR="00136335" w:rsidRDefault="00136335" w:rsidP="00136335">
      <w:pPr>
        <w:pStyle w:val="Paragraphedeliste"/>
        <w:spacing w:after="0"/>
        <w:ind w:left="0"/>
        <w:rPr>
          <w:i/>
        </w:rPr>
      </w:pPr>
      <w:r>
        <w:rPr>
          <w:i/>
        </w:rPr>
        <w:t xml:space="preserve">Exemple : Une machine-outil a été achetée pour une valeur HT de 120 000 €. La durée de vie prévue est de 6 ans, l’acquisition a eu lieu le 21/03/N. </w:t>
      </w:r>
      <w:r>
        <w:rPr>
          <w:i/>
        </w:rPr>
        <w:t>Établissons son</w:t>
      </w:r>
      <w:r>
        <w:rPr>
          <w:i/>
        </w:rPr>
        <w:t xml:space="preserve"> tableau d’amortissement</w:t>
      </w:r>
      <w:r>
        <w:rPr>
          <w:i/>
        </w:rPr>
        <w:t> :</w:t>
      </w:r>
    </w:p>
    <w:p w14:paraId="210B5926" w14:textId="77777777" w:rsidR="00136335" w:rsidRDefault="00136335" w:rsidP="00136335">
      <w:pPr>
        <w:pStyle w:val="Paragraphedeliste"/>
        <w:spacing w:after="0"/>
        <w:ind w:left="0"/>
        <w:rPr>
          <w:i/>
        </w:rPr>
      </w:pPr>
      <w:r>
        <w:rPr>
          <w:i/>
        </w:rPr>
        <w:t>PT 1 = ((30 -21)+(90x 30))/360</w:t>
      </w:r>
      <w:r>
        <w:rPr>
          <w:i/>
        </w:rPr>
        <w:tab/>
        <w:t>PT1 = 279/360</w:t>
      </w:r>
      <w:r>
        <w:rPr>
          <w:i/>
        </w:rPr>
        <w:tab/>
      </w:r>
      <w:r>
        <w:rPr>
          <w:i/>
        </w:rPr>
        <w:tab/>
        <w:t>PT1 = 0,775</w:t>
      </w:r>
    </w:p>
    <w:p w14:paraId="4B67CE70" w14:textId="77777777" w:rsidR="00136335" w:rsidRDefault="00136335" w:rsidP="00136335">
      <w:pPr>
        <w:pStyle w:val="Paragraphedeliste"/>
        <w:spacing w:after="0"/>
        <w:ind w:left="0"/>
        <w:rPr>
          <w:i/>
        </w:rPr>
      </w:pPr>
      <w:r>
        <w:rPr>
          <w:i/>
        </w:rPr>
        <w:t>PT2 = ((2 x 30) + 21)/360</w:t>
      </w:r>
      <w:r>
        <w:rPr>
          <w:i/>
        </w:rPr>
        <w:tab/>
        <w:t>PT2 = 81/360</w:t>
      </w:r>
      <w:r>
        <w:rPr>
          <w:i/>
        </w:rPr>
        <w:tab/>
      </w:r>
      <w:r>
        <w:rPr>
          <w:i/>
        </w:rPr>
        <w:tab/>
        <w:t>PT2 = 0,225</w:t>
      </w:r>
    </w:p>
    <w:p w14:paraId="68676B0A" w14:textId="77777777" w:rsidR="00136335" w:rsidRDefault="00136335" w:rsidP="00136335">
      <w:pPr>
        <w:pStyle w:val="Paragraphedeliste"/>
        <w:spacing w:after="0"/>
        <w:ind w:left="0"/>
        <w:rPr>
          <w:i/>
        </w:rPr>
      </w:pPr>
      <w:r>
        <w:rPr>
          <w:i/>
        </w:rPr>
        <w:t>PT1 + PT2 = 0,775 + 0,225</w:t>
      </w:r>
      <w:r>
        <w:rPr>
          <w:i/>
        </w:rPr>
        <w:tab/>
        <w:t>PT1 + +PT2 = 1</w:t>
      </w:r>
    </w:p>
    <w:p w14:paraId="62823BFE" w14:textId="77777777" w:rsidR="00136335" w:rsidRDefault="00136335" w:rsidP="00136335">
      <w:pPr>
        <w:pStyle w:val="Paragraphedeliste"/>
        <w:spacing w:after="0"/>
        <w:ind w:left="0"/>
      </w:pPr>
      <w:r>
        <w:t xml:space="preserve"> </w:t>
      </w:r>
    </w:p>
    <w:tbl>
      <w:tblPr>
        <w:tblStyle w:val="Grilledutableau"/>
        <w:tblW w:w="0" w:type="auto"/>
        <w:tblLayout w:type="fixed"/>
        <w:tblLook w:val="04A0" w:firstRow="1" w:lastRow="0" w:firstColumn="1" w:lastColumn="0" w:noHBand="0" w:noVBand="1"/>
      </w:tblPr>
      <w:tblGrid>
        <w:gridCol w:w="846"/>
        <w:gridCol w:w="1276"/>
        <w:gridCol w:w="2835"/>
        <w:gridCol w:w="1367"/>
        <w:gridCol w:w="1368"/>
        <w:gridCol w:w="1368"/>
      </w:tblGrid>
      <w:tr w:rsidR="00136335" w:rsidRPr="00C04123" w14:paraId="073310A6" w14:textId="77777777" w:rsidTr="00136335">
        <w:tc>
          <w:tcPr>
            <w:tcW w:w="846" w:type="dxa"/>
            <w:tcBorders>
              <w:top w:val="single" w:sz="4" w:space="0" w:color="auto"/>
              <w:left w:val="single" w:sz="4" w:space="0" w:color="auto"/>
              <w:bottom w:val="single" w:sz="4" w:space="0" w:color="auto"/>
              <w:right w:val="single" w:sz="4" w:space="0" w:color="auto"/>
            </w:tcBorders>
            <w:vAlign w:val="center"/>
            <w:hideMark/>
          </w:tcPr>
          <w:p w14:paraId="3944658D" w14:textId="77777777" w:rsidR="00136335" w:rsidRPr="00C04123" w:rsidRDefault="00136335">
            <w:pPr>
              <w:pStyle w:val="Paragraphedeliste"/>
              <w:spacing w:after="0" w:line="240" w:lineRule="auto"/>
              <w:ind w:left="0"/>
              <w:jc w:val="center"/>
              <w:rPr>
                <w:b/>
                <w:i/>
                <w:iCs/>
              </w:rPr>
            </w:pPr>
            <w:r w:rsidRPr="00C04123">
              <w:rPr>
                <w:b/>
                <w:i/>
                <w:iCs/>
              </w:rPr>
              <w:t>Année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F8A9BE" w14:textId="77777777" w:rsidR="00136335" w:rsidRPr="00C04123" w:rsidRDefault="00136335">
            <w:pPr>
              <w:pStyle w:val="Paragraphedeliste"/>
              <w:spacing w:after="0" w:line="240" w:lineRule="auto"/>
              <w:ind w:left="0"/>
              <w:jc w:val="center"/>
              <w:rPr>
                <w:b/>
                <w:i/>
                <w:iCs/>
              </w:rPr>
            </w:pPr>
            <w:r w:rsidRPr="00C04123">
              <w:rPr>
                <w:b/>
                <w:i/>
                <w:iCs/>
              </w:rPr>
              <w:t>Base amortis-</w:t>
            </w:r>
          </w:p>
          <w:p w14:paraId="5194977E" w14:textId="77777777" w:rsidR="00136335" w:rsidRPr="00C04123" w:rsidRDefault="00136335">
            <w:pPr>
              <w:pStyle w:val="Paragraphedeliste"/>
              <w:spacing w:after="0" w:line="240" w:lineRule="auto"/>
              <w:ind w:left="0"/>
              <w:jc w:val="center"/>
              <w:rPr>
                <w:b/>
                <w:i/>
                <w:iCs/>
              </w:rPr>
            </w:pPr>
            <w:r w:rsidRPr="00C04123">
              <w:rPr>
                <w:b/>
                <w:i/>
                <w:iCs/>
              </w:rPr>
              <w:t>sable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84A2D3" w14:textId="77777777" w:rsidR="00136335" w:rsidRPr="00C04123" w:rsidRDefault="00136335">
            <w:pPr>
              <w:pStyle w:val="Paragraphedeliste"/>
              <w:spacing w:after="0" w:line="240" w:lineRule="auto"/>
              <w:ind w:left="0"/>
              <w:jc w:val="center"/>
              <w:rPr>
                <w:b/>
                <w:i/>
                <w:iCs/>
              </w:rPr>
            </w:pPr>
            <w:r w:rsidRPr="00C04123">
              <w:rPr>
                <w:b/>
                <w:i/>
                <w:iCs/>
              </w:rPr>
              <w:t>Détail des calculs</w:t>
            </w:r>
          </w:p>
        </w:tc>
        <w:tc>
          <w:tcPr>
            <w:tcW w:w="1367" w:type="dxa"/>
            <w:tcBorders>
              <w:top w:val="single" w:sz="4" w:space="0" w:color="auto"/>
              <w:left w:val="single" w:sz="4" w:space="0" w:color="auto"/>
              <w:bottom w:val="single" w:sz="4" w:space="0" w:color="auto"/>
              <w:right w:val="single" w:sz="4" w:space="0" w:color="auto"/>
            </w:tcBorders>
            <w:vAlign w:val="center"/>
            <w:hideMark/>
          </w:tcPr>
          <w:p w14:paraId="176761A1" w14:textId="77777777" w:rsidR="00136335" w:rsidRPr="00C04123" w:rsidRDefault="00136335">
            <w:pPr>
              <w:pStyle w:val="Paragraphedeliste"/>
              <w:spacing w:after="0" w:line="240" w:lineRule="auto"/>
              <w:ind w:left="0"/>
              <w:jc w:val="center"/>
              <w:rPr>
                <w:b/>
                <w:i/>
                <w:iCs/>
              </w:rPr>
            </w:pPr>
            <w:r w:rsidRPr="00C04123">
              <w:rPr>
                <w:b/>
                <w:i/>
                <w:iCs/>
              </w:rPr>
              <w:t>Annuités d’amortis-</w:t>
            </w:r>
          </w:p>
          <w:p w14:paraId="74192352" w14:textId="77777777" w:rsidR="00136335" w:rsidRPr="00C04123" w:rsidRDefault="00136335">
            <w:pPr>
              <w:pStyle w:val="Paragraphedeliste"/>
              <w:spacing w:after="0" w:line="240" w:lineRule="auto"/>
              <w:ind w:left="0"/>
              <w:jc w:val="center"/>
              <w:rPr>
                <w:b/>
                <w:i/>
                <w:iCs/>
              </w:rPr>
            </w:pPr>
            <w:proofErr w:type="spellStart"/>
            <w:r w:rsidRPr="00C04123">
              <w:rPr>
                <w:b/>
                <w:i/>
                <w:iCs/>
              </w:rPr>
              <w:t>sement</w:t>
            </w:r>
            <w:proofErr w:type="spellEnd"/>
          </w:p>
        </w:tc>
        <w:tc>
          <w:tcPr>
            <w:tcW w:w="1368" w:type="dxa"/>
            <w:tcBorders>
              <w:top w:val="single" w:sz="4" w:space="0" w:color="auto"/>
              <w:left w:val="single" w:sz="4" w:space="0" w:color="auto"/>
              <w:bottom w:val="single" w:sz="4" w:space="0" w:color="auto"/>
              <w:right w:val="single" w:sz="4" w:space="0" w:color="auto"/>
            </w:tcBorders>
            <w:vAlign w:val="center"/>
            <w:hideMark/>
          </w:tcPr>
          <w:p w14:paraId="036CE5B9" w14:textId="77777777" w:rsidR="00136335" w:rsidRPr="00C04123" w:rsidRDefault="00136335">
            <w:pPr>
              <w:pStyle w:val="Paragraphedeliste"/>
              <w:spacing w:after="0" w:line="240" w:lineRule="auto"/>
              <w:ind w:left="0"/>
              <w:jc w:val="center"/>
              <w:rPr>
                <w:b/>
                <w:i/>
                <w:iCs/>
              </w:rPr>
            </w:pPr>
            <w:r w:rsidRPr="00C04123">
              <w:rPr>
                <w:b/>
                <w:i/>
                <w:iCs/>
              </w:rPr>
              <w:t>Cumul des amortisse-</w:t>
            </w:r>
          </w:p>
          <w:p w14:paraId="03B59119" w14:textId="77777777" w:rsidR="00136335" w:rsidRPr="00C04123" w:rsidRDefault="00136335">
            <w:pPr>
              <w:pStyle w:val="Paragraphedeliste"/>
              <w:spacing w:after="0" w:line="240" w:lineRule="auto"/>
              <w:ind w:left="0"/>
              <w:jc w:val="center"/>
              <w:rPr>
                <w:b/>
                <w:i/>
                <w:iCs/>
              </w:rPr>
            </w:pPr>
            <w:proofErr w:type="spellStart"/>
            <w:r w:rsidRPr="00C04123">
              <w:rPr>
                <w:b/>
                <w:i/>
                <w:iCs/>
              </w:rPr>
              <w:t>ments</w:t>
            </w:r>
            <w:proofErr w:type="spellEnd"/>
          </w:p>
        </w:tc>
        <w:tc>
          <w:tcPr>
            <w:tcW w:w="1368" w:type="dxa"/>
            <w:tcBorders>
              <w:top w:val="single" w:sz="4" w:space="0" w:color="auto"/>
              <w:left w:val="single" w:sz="4" w:space="0" w:color="auto"/>
              <w:bottom w:val="single" w:sz="4" w:space="0" w:color="auto"/>
              <w:right w:val="single" w:sz="4" w:space="0" w:color="auto"/>
            </w:tcBorders>
            <w:vAlign w:val="center"/>
            <w:hideMark/>
          </w:tcPr>
          <w:p w14:paraId="678C29F9" w14:textId="77777777" w:rsidR="00136335" w:rsidRPr="00C04123" w:rsidRDefault="00136335">
            <w:pPr>
              <w:pStyle w:val="Paragraphedeliste"/>
              <w:spacing w:after="0" w:line="240" w:lineRule="auto"/>
              <w:ind w:left="0"/>
              <w:jc w:val="center"/>
              <w:rPr>
                <w:b/>
                <w:i/>
                <w:iCs/>
              </w:rPr>
            </w:pPr>
            <w:r w:rsidRPr="00C04123">
              <w:rPr>
                <w:b/>
                <w:i/>
                <w:iCs/>
              </w:rPr>
              <w:t>Valeur nette comptable</w:t>
            </w:r>
          </w:p>
        </w:tc>
      </w:tr>
      <w:tr w:rsidR="00136335" w:rsidRPr="00C04123" w14:paraId="4BF30B41"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4D1265F4" w14:textId="77777777" w:rsidR="00136335" w:rsidRPr="00C04123" w:rsidRDefault="00136335">
            <w:pPr>
              <w:pStyle w:val="Paragraphedeliste"/>
              <w:spacing w:after="0" w:line="240" w:lineRule="auto"/>
              <w:ind w:left="0"/>
              <w:rPr>
                <w:i/>
                <w:iCs/>
              </w:rPr>
            </w:pPr>
            <w:r w:rsidRPr="00C04123">
              <w:rPr>
                <w:i/>
                <w:iCs/>
              </w:rPr>
              <w:t xml:space="preserve">N </w:t>
            </w:r>
          </w:p>
        </w:tc>
        <w:tc>
          <w:tcPr>
            <w:tcW w:w="1276" w:type="dxa"/>
            <w:tcBorders>
              <w:top w:val="single" w:sz="4" w:space="0" w:color="auto"/>
              <w:left w:val="single" w:sz="4" w:space="0" w:color="auto"/>
              <w:bottom w:val="single" w:sz="4" w:space="0" w:color="auto"/>
              <w:right w:val="single" w:sz="4" w:space="0" w:color="auto"/>
            </w:tcBorders>
            <w:hideMark/>
          </w:tcPr>
          <w:p w14:paraId="55DE1D94"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45218BBC" w14:textId="77777777" w:rsidR="00136335" w:rsidRPr="00C04123" w:rsidRDefault="00136335">
            <w:pPr>
              <w:pStyle w:val="Paragraphedeliste"/>
              <w:spacing w:after="0" w:line="240" w:lineRule="auto"/>
              <w:ind w:left="0"/>
              <w:rPr>
                <w:i/>
                <w:iCs/>
              </w:rPr>
            </w:pPr>
            <w:r w:rsidRPr="00C04123">
              <w:rPr>
                <w:i/>
                <w:iCs/>
              </w:rPr>
              <w:t>120 000 x 16 ,67% x 0,775</w:t>
            </w:r>
          </w:p>
        </w:tc>
        <w:tc>
          <w:tcPr>
            <w:tcW w:w="1367" w:type="dxa"/>
            <w:tcBorders>
              <w:top w:val="single" w:sz="4" w:space="0" w:color="auto"/>
              <w:left w:val="single" w:sz="4" w:space="0" w:color="auto"/>
              <w:bottom w:val="single" w:sz="4" w:space="0" w:color="auto"/>
              <w:right w:val="single" w:sz="4" w:space="0" w:color="auto"/>
            </w:tcBorders>
            <w:hideMark/>
          </w:tcPr>
          <w:p w14:paraId="32FA8463" w14:textId="77777777" w:rsidR="00136335" w:rsidRPr="00C04123" w:rsidRDefault="00136335">
            <w:pPr>
              <w:pStyle w:val="Paragraphedeliste"/>
              <w:spacing w:after="0" w:line="240" w:lineRule="auto"/>
              <w:ind w:left="0"/>
              <w:jc w:val="right"/>
              <w:rPr>
                <w:i/>
                <w:iCs/>
              </w:rPr>
            </w:pPr>
            <w:r w:rsidRPr="00C04123">
              <w:rPr>
                <w:i/>
                <w:iCs/>
              </w:rPr>
              <w:t>15 500,00</w:t>
            </w:r>
          </w:p>
        </w:tc>
        <w:tc>
          <w:tcPr>
            <w:tcW w:w="1368" w:type="dxa"/>
            <w:tcBorders>
              <w:top w:val="single" w:sz="4" w:space="0" w:color="auto"/>
              <w:left w:val="single" w:sz="4" w:space="0" w:color="auto"/>
              <w:bottom w:val="single" w:sz="4" w:space="0" w:color="auto"/>
              <w:right w:val="single" w:sz="4" w:space="0" w:color="auto"/>
            </w:tcBorders>
            <w:hideMark/>
          </w:tcPr>
          <w:p w14:paraId="4FB5A2AE" w14:textId="77777777" w:rsidR="00136335" w:rsidRPr="00C04123" w:rsidRDefault="00136335">
            <w:pPr>
              <w:pStyle w:val="Paragraphedeliste"/>
              <w:spacing w:after="0" w:line="240" w:lineRule="auto"/>
              <w:ind w:left="0"/>
              <w:jc w:val="right"/>
              <w:rPr>
                <w:i/>
                <w:iCs/>
              </w:rPr>
            </w:pPr>
            <w:r w:rsidRPr="00C04123">
              <w:rPr>
                <w:i/>
                <w:iCs/>
              </w:rPr>
              <w:t>15 500,00</w:t>
            </w:r>
          </w:p>
        </w:tc>
        <w:tc>
          <w:tcPr>
            <w:tcW w:w="1368" w:type="dxa"/>
            <w:tcBorders>
              <w:top w:val="single" w:sz="4" w:space="0" w:color="auto"/>
              <w:left w:val="single" w:sz="4" w:space="0" w:color="auto"/>
              <w:bottom w:val="single" w:sz="4" w:space="0" w:color="auto"/>
              <w:right w:val="single" w:sz="4" w:space="0" w:color="auto"/>
            </w:tcBorders>
            <w:hideMark/>
          </w:tcPr>
          <w:p w14:paraId="062EC974" w14:textId="77777777" w:rsidR="00136335" w:rsidRPr="00C04123" w:rsidRDefault="00136335">
            <w:pPr>
              <w:pStyle w:val="Paragraphedeliste"/>
              <w:spacing w:after="0" w:line="240" w:lineRule="auto"/>
              <w:ind w:left="0"/>
              <w:jc w:val="right"/>
              <w:rPr>
                <w:i/>
                <w:iCs/>
              </w:rPr>
            </w:pPr>
            <w:r w:rsidRPr="00C04123">
              <w:rPr>
                <w:i/>
                <w:iCs/>
              </w:rPr>
              <w:t>104 500,00</w:t>
            </w:r>
          </w:p>
        </w:tc>
      </w:tr>
      <w:tr w:rsidR="00136335" w:rsidRPr="00C04123" w14:paraId="7817790F"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4603AB95" w14:textId="4034EAF8" w:rsidR="00136335" w:rsidRPr="00C04123" w:rsidRDefault="00136335">
            <w:pPr>
              <w:pStyle w:val="Paragraphedeliste"/>
              <w:spacing w:after="0" w:line="240" w:lineRule="auto"/>
              <w:ind w:left="0"/>
              <w:rPr>
                <w:i/>
                <w:iCs/>
              </w:rPr>
            </w:pPr>
            <w:r w:rsidRPr="00C04123">
              <w:rPr>
                <w:i/>
                <w:iCs/>
              </w:rPr>
              <w:t>N+1</w:t>
            </w:r>
          </w:p>
        </w:tc>
        <w:tc>
          <w:tcPr>
            <w:tcW w:w="1276" w:type="dxa"/>
            <w:tcBorders>
              <w:top w:val="single" w:sz="4" w:space="0" w:color="auto"/>
              <w:left w:val="single" w:sz="4" w:space="0" w:color="auto"/>
              <w:bottom w:val="single" w:sz="4" w:space="0" w:color="auto"/>
              <w:right w:val="single" w:sz="4" w:space="0" w:color="auto"/>
            </w:tcBorders>
            <w:hideMark/>
          </w:tcPr>
          <w:p w14:paraId="15DA4D58"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72D5F71E" w14:textId="77777777" w:rsidR="00136335" w:rsidRPr="00C04123" w:rsidRDefault="00136335">
            <w:pPr>
              <w:pStyle w:val="Paragraphedeliste"/>
              <w:spacing w:after="0" w:line="240" w:lineRule="auto"/>
              <w:ind w:left="0"/>
              <w:rPr>
                <w:i/>
                <w:iCs/>
              </w:rPr>
            </w:pPr>
            <w:r w:rsidRPr="00C04123">
              <w:rPr>
                <w:i/>
                <w:iCs/>
              </w:rPr>
              <w:t>120 000 x 16,67%</w:t>
            </w:r>
          </w:p>
        </w:tc>
        <w:tc>
          <w:tcPr>
            <w:tcW w:w="1367" w:type="dxa"/>
            <w:tcBorders>
              <w:top w:val="single" w:sz="4" w:space="0" w:color="auto"/>
              <w:left w:val="single" w:sz="4" w:space="0" w:color="auto"/>
              <w:bottom w:val="single" w:sz="4" w:space="0" w:color="auto"/>
              <w:right w:val="single" w:sz="4" w:space="0" w:color="auto"/>
            </w:tcBorders>
            <w:hideMark/>
          </w:tcPr>
          <w:p w14:paraId="1576250D" w14:textId="77777777" w:rsidR="00136335" w:rsidRPr="00C04123" w:rsidRDefault="00136335">
            <w:pPr>
              <w:pStyle w:val="Paragraphedeliste"/>
              <w:spacing w:after="0" w:line="240" w:lineRule="auto"/>
              <w:ind w:left="0"/>
              <w:jc w:val="right"/>
              <w:rPr>
                <w:i/>
                <w:iCs/>
              </w:rPr>
            </w:pPr>
            <w:r w:rsidRPr="00C04123">
              <w:rPr>
                <w:i/>
                <w:iCs/>
              </w:rPr>
              <w:t>20 000,00</w:t>
            </w:r>
          </w:p>
        </w:tc>
        <w:tc>
          <w:tcPr>
            <w:tcW w:w="1368" w:type="dxa"/>
            <w:tcBorders>
              <w:top w:val="single" w:sz="4" w:space="0" w:color="auto"/>
              <w:left w:val="single" w:sz="4" w:space="0" w:color="auto"/>
              <w:bottom w:val="single" w:sz="4" w:space="0" w:color="auto"/>
              <w:right w:val="single" w:sz="4" w:space="0" w:color="auto"/>
            </w:tcBorders>
            <w:hideMark/>
          </w:tcPr>
          <w:p w14:paraId="70780D9B" w14:textId="77777777" w:rsidR="00136335" w:rsidRPr="00C04123" w:rsidRDefault="00136335">
            <w:pPr>
              <w:pStyle w:val="Paragraphedeliste"/>
              <w:spacing w:after="0" w:line="240" w:lineRule="auto"/>
              <w:ind w:left="0"/>
              <w:jc w:val="right"/>
              <w:rPr>
                <w:i/>
                <w:iCs/>
              </w:rPr>
            </w:pPr>
            <w:r w:rsidRPr="00C04123">
              <w:rPr>
                <w:i/>
                <w:iCs/>
              </w:rPr>
              <w:t>35 500,00</w:t>
            </w:r>
          </w:p>
        </w:tc>
        <w:tc>
          <w:tcPr>
            <w:tcW w:w="1368" w:type="dxa"/>
            <w:tcBorders>
              <w:top w:val="single" w:sz="4" w:space="0" w:color="auto"/>
              <w:left w:val="single" w:sz="4" w:space="0" w:color="auto"/>
              <w:bottom w:val="single" w:sz="4" w:space="0" w:color="auto"/>
              <w:right w:val="single" w:sz="4" w:space="0" w:color="auto"/>
            </w:tcBorders>
            <w:hideMark/>
          </w:tcPr>
          <w:p w14:paraId="48AEE1C1" w14:textId="77777777" w:rsidR="00136335" w:rsidRPr="00C04123" w:rsidRDefault="00136335">
            <w:pPr>
              <w:pStyle w:val="Paragraphedeliste"/>
              <w:spacing w:after="0" w:line="240" w:lineRule="auto"/>
              <w:ind w:left="0"/>
              <w:jc w:val="right"/>
              <w:rPr>
                <w:i/>
                <w:iCs/>
              </w:rPr>
            </w:pPr>
            <w:r w:rsidRPr="00C04123">
              <w:rPr>
                <w:i/>
                <w:iCs/>
              </w:rPr>
              <w:t>84 500,00</w:t>
            </w:r>
          </w:p>
        </w:tc>
      </w:tr>
      <w:tr w:rsidR="00136335" w:rsidRPr="00C04123" w14:paraId="5FFE9375"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378C2D62" w14:textId="7A40A64D" w:rsidR="00136335" w:rsidRPr="00C04123" w:rsidRDefault="00136335">
            <w:pPr>
              <w:pStyle w:val="Paragraphedeliste"/>
              <w:spacing w:after="0" w:line="240" w:lineRule="auto"/>
              <w:ind w:left="0"/>
              <w:rPr>
                <w:i/>
                <w:iCs/>
              </w:rPr>
            </w:pPr>
            <w:r w:rsidRPr="00C04123">
              <w:rPr>
                <w:i/>
                <w:iCs/>
              </w:rPr>
              <w:t>N+2</w:t>
            </w:r>
          </w:p>
        </w:tc>
        <w:tc>
          <w:tcPr>
            <w:tcW w:w="1276" w:type="dxa"/>
            <w:tcBorders>
              <w:top w:val="single" w:sz="4" w:space="0" w:color="auto"/>
              <w:left w:val="single" w:sz="4" w:space="0" w:color="auto"/>
              <w:bottom w:val="single" w:sz="4" w:space="0" w:color="auto"/>
              <w:right w:val="single" w:sz="4" w:space="0" w:color="auto"/>
            </w:tcBorders>
            <w:hideMark/>
          </w:tcPr>
          <w:p w14:paraId="17B5E909"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38B9CF58" w14:textId="77777777" w:rsidR="00136335" w:rsidRPr="00C04123" w:rsidRDefault="00136335">
            <w:pPr>
              <w:pStyle w:val="Paragraphedeliste"/>
              <w:spacing w:after="0" w:line="240" w:lineRule="auto"/>
              <w:ind w:left="0"/>
              <w:rPr>
                <w:i/>
                <w:iCs/>
              </w:rPr>
            </w:pPr>
            <w:r w:rsidRPr="00C04123">
              <w:rPr>
                <w:i/>
                <w:iCs/>
              </w:rPr>
              <w:t>120 000 x 16,67%</w:t>
            </w:r>
          </w:p>
        </w:tc>
        <w:tc>
          <w:tcPr>
            <w:tcW w:w="1367" w:type="dxa"/>
            <w:tcBorders>
              <w:top w:val="single" w:sz="4" w:space="0" w:color="auto"/>
              <w:left w:val="single" w:sz="4" w:space="0" w:color="auto"/>
              <w:bottom w:val="single" w:sz="4" w:space="0" w:color="auto"/>
              <w:right w:val="single" w:sz="4" w:space="0" w:color="auto"/>
            </w:tcBorders>
            <w:hideMark/>
          </w:tcPr>
          <w:p w14:paraId="4B542AF9" w14:textId="77777777" w:rsidR="00136335" w:rsidRPr="00C04123" w:rsidRDefault="00136335">
            <w:pPr>
              <w:pStyle w:val="Paragraphedeliste"/>
              <w:spacing w:after="0" w:line="240" w:lineRule="auto"/>
              <w:ind w:left="0"/>
              <w:jc w:val="right"/>
              <w:rPr>
                <w:i/>
                <w:iCs/>
              </w:rPr>
            </w:pPr>
            <w:r w:rsidRPr="00C04123">
              <w:rPr>
                <w:i/>
                <w:iCs/>
              </w:rPr>
              <w:t>20 000,00</w:t>
            </w:r>
          </w:p>
        </w:tc>
        <w:tc>
          <w:tcPr>
            <w:tcW w:w="1368" w:type="dxa"/>
            <w:tcBorders>
              <w:top w:val="single" w:sz="4" w:space="0" w:color="auto"/>
              <w:left w:val="single" w:sz="4" w:space="0" w:color="auto"/>
              <w:bottom w:val="single" w:sz="4" w:space="0" w:color="auto"/>
              <w:right w:val="single" w:sz="4" w:space="0" w:color="auto"/>
            </w:tcBorders>
            <w:hideMark/>
          </w:tcPr>
          <w:p w14:paraId="770181A6" w14:textId="77777777" w:rsidR="00136335" w:rsidRPr="00C04123" w:rsidRDefault="00136335">
            <w:pPr>
              <w:pStyle w:val="Paragraphedeliste"/>
              <w:spacing w:after="0" w:line="240" w:lineRule="auto"/>
              <w:ind w:left="0"/>
              <w:jc w:val="right"/>
              <w:rPr>
                <w:i/>
                <w:iCs/>
              </w:rPr>
            </w:pPr>
            <w:r w:rsidRPr="00C04123">
              <w:rPr>
                <w:i/>
                <w:iCs/>
              </w:rPr>
              <w:t>55 500,00</w:t>
            </w:r>
          </w:p>
        </w:tc>
        <w:tc>
          <w:tcPr>
            <w:tcW w:w="1368" w:type="dxa"/>
            <w:tcBorders>
              <w:top w:val="single" w:sz="4" w:space="0" w:color="auto"/>
              <w:left w:val="single" w:sz="4" w:space="0" w:color="auto"/>
              <w:bottom w:val="single" w:sz="4" w:space="0" w:color="auto"/>
              <w:right w:val="single" w:sz="4" w:space="0" w:color="auto"/>
            </w:tcBorders>
            <w:hideMark/>
          </w:tcPr>
          <w:p w14:paraId="0FD7AC6D" w14:textId="77777777" w:rsidR="00136335" w:rsidRPr="00C04123" w:rsidRDefault="00136335">
            <w:pPr>
              <w:pStyle w:val="Paragraphedeliste"/>
              <w:spacing w:after="0" w:line="240" w:lineRule="auto"/>
              <w:ind w:left="0"/>
              <w:jc w:val="right"/>
              <w:rPr>
                <w:i/>
                <w:iCs/>
              </w:rPr>
            </w:pPr>
            <w:r w:rsidRPr="00C04123">
              <w:rPr>
                <w:i/>
                <w:iCs/>
              </w:rPr>
              <w:t>64 500,00</w:t>
            </w:r>
          </w:p>
        </w:tc>
      </w:tr>
      <w:tr w:rsidR="00136335" w:rsidRPr="00C04123" w14:paraId="2523A634"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446BE2BE" w14:textId="28F80607" w:rsidR="00136335" w:rsidRPr="00C04123" w:rsidRDefault="00136335">
            <w:pPr>
              <w:pStyle w:val="Paragraphedeliste"/>
              <w:spacing w:after="0" w:line="240" w:lineRule="auto"/>
              <w:ind w:left="0"/>
              <w:rPr>
                <w:i/>
                <w:iCs/>
              </w:rPr>
            </w:pPr>
            <w:r w:rsidRPr="00C04123">
              <w:rPr>
                <w:i/>
                <w:iCs/>
              </w:rPr>
              <w:t>N+3</w:t>
            </w:r>
          </w:p>
        </w:tc>
        <w:tc>
          <w:tcPr>
            <w:tcW w:w="1276" w:type="dxa"/>
            <w:tcBorders>
              <w:top w:val="single" w:sz="4" w:space="0" w:color="auto"/>
              <w:left w:val="single" w:sz="4" w:space="0" w:color="auto"/>
              <w:bottom w:val="single" w:sz="4" w:space="0" w:color="auto"/>
              <w:right w:val="single" w:sz="4" w:space="0" w:color="auto"/>
            </w:tcBorders>
            <w:hideMark/>
          </w:tcPr>
          <w:p w14:paraId="79E67ACC"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1A01D3E8" w14:textId="77777777" w:rsidR="00136335" w:rsidRPr="00C04123" w:rsidRDefault="00136335">
            <w:pPr>
              <w:pStyle w:val="Paragraphedeliste"/>
              <w:spacing w:after="0" w:line="240" w:lineRule="auto"/>
              <w:ind w:left="0"/>
              <w:rPr>
                <w:i/>
                <w:iCs/>
              </w:rPr>
            </w:pPr>
            <w:r w:rsidRPr="00C04123">
              <w:rPr>
                <w:i/>
                <w:iCs/>
              </w:rPr>
              <w:t>120 000 x 16,67%</w:t>
            </w:r>
          </w:p>
        </w:tc>
        <w:tc>
          <w:tcPr>
            <w:tcW w:w="1367" w:type="dxa"/>
            <w:tcBorders>
              <w:top w:val="single" w:sz="4" w:space="0" w:color="auto"/>
              <w:left w:val="single" w:sz="4" w:space="0" w:color="auto"/>
              <w:bottom w:val="single" w:sz="4" w:space="0" w:color="auto"/>
              <w:right w:val="single" w:sz="4" w:space="0" w:color="auto"/>
            </w:tcBorders>
            <w:hideMark/>
          </w:tcPr>
          <w:p w14:paraId="532B1F0E" w14:textId="77777777" w:rsidR="00136335" w:rsidRPr="00C04123" w:rsidRDefault="00136335">
            <w:pPr>
              <w:pStyle w:val="Paragraphedeliste"/>
              <w:spacing w:after="0" w:line="240" w:lineRule="auto"/>
              <w:ind w:left="0"/>
              <w:jc w:val="right"/>
              <w:rPr>
                <w:i/>
                <w:iCs/>
              </w:rPr>
            </w:pPr>
            <w:r w:rsidRPr="00C04123">
              <w:rPr>
                <w:i/>
                <w:iCs/>
              </w:rPr>
              <w:t>20 000,00</w:t>
            </w:r>
          </w:p>
        </w:tc>
        <w:tc>
          <w:tcPr>
            <w:tcW w:w="1368" w:type="dxa"/>
            <w:tcBorders>
              <w:top w:val="single" w:sz="4" w:space="0" w:color="auto"/>
              <w:left w:val="single" w:sz="4" w:space="0" w:color="auto"/>
              <w:bottom w:val="single" w:sz="4" w:space="0" w:color="auto"/>
              <w:right w:val="single" w:sz="4" w:space="0" w:color="auto"/>
            </w:tcBorders>
            <w:hideMark/>
          </w:tcPr>
          <w:p w14:paraId="385349A2" w14:textId="77777777" w:rsidR="00136335" w:rsidRPr="00C04123" w:rsidRDefault="00136335">
            <w:pPr>
              <w:pStyle w:val="Paragraphedeliste"/>
              <w:spacing w:after="0" w:line="240" w:lineRule="auto"/>
              <w:ind w:left="0"/>
              <w:jc w:val="right"/>
              <w:rPr>
                <w:i/>
                <w:iCs/>
              </w:rPr>
            </w:pPr>
            <w:r w:rsidRPr="00C04123">
              <w:rPr>
                <w:i/>
                <w:iCs/>
              </w:rPr>
              <w:t>75 500,00</w:t>
            </w:r>
          </w:p>
        </w:tc>
        <w:tc>
          <w:tcPr>
            <w:tcW w:w="1368" w:type="dxa"/>
            <w:tcBorders>
              <w:top w:val="single" w:sz="4" w:space="0" w:color="auto"/>
              <w:left w:val="single" w:sz="4" w:space="0" w:color="auto"/>
              <w:bottom w:val="single" w:sz="4" w:space="0" w:color="auto"/>
              <w:right w:val="single" w:sz="4" w:space="0" w:color="auto"/>
            </w:tcBorders>
            <w:hideMark/>
          </w:tcPr>
          <w:p w14:paraId="6E3C94C1" w14:textId="77777777" w:rsidR="00136335" w:rsidRPr="00C04123" w:rsidRDefault="00136335">
            <w:pPr>
              <w:pStyle w:val="Paragraphedeliste"/>
              <w:spacing w:after="0" w:line="240" w:lineRule="auto"/>
              <w:ind w:left="0"/>
              <w:jc w:val="right"/>
              <w:rPr>
                <w:i/>
                <w:iCs/>
              </w:rPr>
            </w:pPr>
            <w:r w:rsidRPr="00C04123">
              <w:rPr>
                <w:i/>
                <w:iCs/>
              </w:rPr>
              <w:t>44 500,00</w:t>
            </w:r>
          </w:p>
        </w:tc>
      </w:tr>
      <w:tr w:rsidR="00136335" w:rsidRPr="00C04123" w14:paraId="7582726E"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63ABD68E" w14:textId="3D4F099D" w:rsidR="00136335" w:rsidRPr="00C04123" w:rsidRDefault="00136335">
            <w:pPr>
              <w:pStyle w:val="Paragraphedeliste"/>
              <w:spacing w:after="0" w:line="240" w:lineRule="auto"/>
              <w:ind w:left="0"/>
              <w:rPr>
                <w:i/>
                <w:iCs/>
              </w:rPr>
            </w:pPr>
            <w:r w:rsidRPr="00C04123">
              <w:rPr>
                <w:i/>
                <w:iCs/>
              </w:rPr>
              <w:t>N+4</w:t>
            </w:r>
          </w:p>
        </w:tc>
        <w:tc>
          <w:tcPr>
            <w:tcW w:w="1276" w:type="dxa"/>
            <w:tcBorders>
              <w:top w:val="single" w:sz="4" w:space="0" w:color="auto"/>
              <w:left w:val="single" w:sz="4" w:space="0" w:color="auto"/>
              <w:bottom w:val="single" w:sz="4" w:space="0" w:color="auto"/>
              <w:right w:val="single" w:sz="4" w:space="0" w:color="auto"/>
            </w:tcBorders>
            <w:hideMark/>
          </w:tcPr>
          <w:p w14:paraId="5252F23B"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5323A9CF" w14:textId="77777777" w:rsidR="00136335" w:rsidRPr="00C04123" w:rsidRDefault="00136335">
            <w:pPr>
              <w:pStyle w:val="Paragraphedeliste"/>
              <w:spacing w:after="0" w:line="240" w:lineRule="auto"/>
              <w:ind w:left="0"/>
              <w:rPr>
                <w:i/>
                <w:iCs/>
              </w:rPr>
            </w:pPr>
            <w:r w:rsidRPr="00C04123">
              <w:rPr>
                <w:i/>
                <w:iCs/>
              </w:rPr>
              <w:t>120 000 x 16,67%</w:t>
            </w:r>
          </w:p>
        </w:tc>
        <w:tc>
          <w:tcPr>
            <w:tcW w:w="1367" w:type="dxa"/>
            <w:tcBorders>
              <w:top w:val="single" w:sz="4" w:space="0" w:color="auto"/>
              <w:left w:val="single" w:sz="4" w:space="0" w:color="auto"/>
              <w:bottom w:val="single" w:sz="4" w:space="0" w:color="auto"/>
              <w:right w:val="single" w:sz="4" w:space="0" w:color="auto"/>
            </w:tcBorders>
            <w:hideMark/>
          </w:tcPr>
          <w:p w14:paraId="1A364504" w14:textId="77777777" w:rsidR="00136335" w:rsidRPr="00C04123" w:rsidRDefault="00136335">
            <w:pPr>
              <w:pStyle w:val="Paragraphedeliste"/>
              <w:spacing w:after="0" w:line="240" w:lineRule="auto"/>
              <w:ind w:left="0"/>
              <w:jc w:val="right"/>
              <w:rPr>
                <w:i/>
                <w:iCs/>
              </w:rPr>
            </w:pPr>
            <w:r w:rsidRPr="00C04123">
              <w:rPr>
                <w:i/>
                <w:iCs/>
              </w:rPr>
              <w:t>20 000,00</w:t>
            </w:r>
          </w:p>
        </w:tc>
        <w:tc>
          <w:tcPr>
            <w:tcW w:w="1368" w:type="dxa"/>
            <w:tcBorders>
              <w:top w:val="single" w:sz="4" w:space="0" w:color="auto"/>
              <w:left w:val="single" w:sz="4" w:space="0" w:color="auto"/>
              <w:bottom w:val="single" w:sz="4" w:space="0" w:color="auto"/>
              <w:right w:val="single" w:sz="4" w:space="0" w:color="auto"/>
            </w:tcBorders>
            <w:hideMark/>
          </w:tcPr>
          <w:p w14:paraId="2F0263A0" w14:textId="77777777" w:rsidR="00136335" w:rsidRPr="00C04123" w:rsidRDefault="00136335">
            <w:pPr>
              <w:pStyle w:val="Paragraphedeliste"/>
              <w:spacing w:after="0" w:line="240" w:lineRule="auto"/>
              <w:ind w:left="0"/>
              <w:jc w:val="right"/>
              <w:rPr>
                <w:i/>
                <w:iCs/>
              </w:rPr>
            </w:pPr>
            <w:r w:rsidRPr="00C04123">
              <w:rPr>
                <w:i/>
                <w:iCs/>
              </w:rPr>
              <w:t>95 500,00</w:t>
            </w:r>
          </w:p>
        </w:tc>
        <w:tc>
          <w:tcPr>
            <w:tcW w:w="1368" w:type="dxa"/>
            <w:tcBorders>
              <w:top w:val="single" w:sz="4" w:space="0" w:color="auto"/>
              <w:left w:val="single" w:sz="4" w:space="0" w:color="auto"/>
              <w:bottom w:val="single" w:sz="4" w:space="0" w:color="auto"/>
              <w:right w:val="single" w:sz="4" w:space="0" w:color="auto"/>
            </w:tcBorders>
            <w:hideMark/>
          </w:tcPr>
          <w:p w14:paraId="09B4BB4F" w14:textId="77777777" w:rsidR="00136335" w:rsidRPr="00C04123" w:rsidRDefault="00136335">
            <w:pPr>
              <w:pStyle w:val="Paragraphedeliste"/>
              <w:spacing w:after="0" w:line="240" w:lineRule="auto"/>
              <w:ind w:left="0"/>
              <w:jc w:val="right"/>
              <w:rPr>
                <w:i/>
                <w:iCs/>
              </w:rPr>
            </w:pPr>
            <w:r w:rsidRPr="00C04123">
              <w:rPr>
                <w:i/>
                <w:iCs/>
              </w:rPr>
              <w:t>24 500,00</w:t>
            </w:r>
          </w:p>
        </w:tc>
      </w:tr>
      <w:tr w:rsidR="00136335" w:rsidRPr="00C04123" w14:paraId="2F9ED66D" w14:textId="77777777" w:rsidTr="00136335">
        <w:tc>
          <w:tcPr>
            <w:tcW w:w="846" w:type="dxa"/>
            <w:tcBorders>
              <w:top w:val="single" w:sz="4" w:space="0" w:color="auto"/>
              <w:left w:val="single" w:sz="4" w:space="0" w:color="auto"/>
              <w:bottom w:val="single" w:sz="4" w:space="0" w:color="auto"/>
              <w:right w:val="single" w:sz="4" w:space="0" w:color="auto"/>
            </w:tcBorders>
            <w:hideMark/>
          </w:tcPr>
          <w:p w14:paraId="286CD0A9" w14:textId="1258288A" w:rsidR="00136335" w:rsidRPr="00C04123" w:rsidRDefault="00136335">
            <w:pPr>
              <w:pStyle w:val="Paragraphedeliste"/>
              <w:spacing w:after="0" w:line="240" w:lineRule="auto"/>
              <w:ind w:left="0"/>
              <w:rPr>
                <w:i/>
                <w:iCs/>
              </w:rPr>
            </w:pPr>
            <w:r w:rsidRPr="00C04123">
              <w:rPr>
                <w:i/>
                <w:iCs/>
              </w:rPr>
              <w:t>N+5</w:t>
            </w:r>
          </w:p>
        </w:tc>
        <w:tc>
          <w:tcPr>
            <w:tcW w:w="1276" w:type="dxa"/>
            <w:tcBorders>
              <w:top w:val="single" w:sz="4" w:space="0" w:color="auto"/>
              <w:left w:val="single" w:sz="4" w:space="0" w:color="auto"/>
              <w:bottom w:val="single" w:sz="4" w:space="0" w:color="auto"/>
              <w:right w:val="single" w:sz="4" w:space="0" w:color="auto"/>
            </w:tcBorders>
            <w:hideMark/>
          </w:tcPr>
          <w:p w14:paraId="718DB00B"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63A78F3A" w14:textId="77777777" w:rsidR="00136335" w:rsidRPr="00C04123" w:rsidRDefault="00136335">
            <w:pPr>
              <w:pStyle w:val="Paragraphedeliste"/>
              <w:spacing w:after="0" w:line="240" w:lineRule="auto"/>
              <w:ind w:left="0"/>
              <w:rPr>
                <w:i/>
                <w:iCs/>
              </w:rPr>
            </w:pPr>
            <w:r w:rsidRPr="00C04123">
              <w:rPr>
                <w:i/>
                <w:iCs/>
              </w:rPr>
              <w:t>120 000 x 16,67%</w:t>
            </w:r>
          </w:p>
        </w:tc>
        <w:tc>
          <w:tcPr>
            <w:tcW w:w="1367" w:type="dxa"/>
            <w:tcBorders>
              <w:top w:val="single" w:sz="4" w:space="0" w:color="auto"/>
              <w:left w:val="single" w:sz="4" w:space="0" w:color="auto"/>
              <w:bottom w:val="single" w:sz="4" w:space="0" w:color="auto"/>
              <w:right w:val="single" w:sz="4" w:space="0" w:color="auto"/>
            </w:tcBorders>
            <w:hideMark/>
          </w:tcPr>
          <w:p w14:paraId="2E2EA061" w14:textId="77777777" w:rsidR="00136335" w:rsidRPr="00C04123" w:rsidRDefault="00136335">
            <w:pPr>
              <w:pStyle w:val="Paragraphedeliste"/>
              <w:spacing w:after="0" w:line="240" w:lineRule="auto"/>
              <w:ind w:left="0"/>
              <w:jc w:val="right"/>
              <w:rPr>
                <w:i/>
                <w:iCs/>
              </w:rPr>
            </w:pPr>
            <w:r w:rsidRPr="00C04123">
              <w:rPr>
                <w:i/>
                <w:iCs/>
              </w:rPr>
              <w:t>20 000,00</w:t>
            </w:r>
          </w:p>
        </w:tc>
        <w:tc>
          <w:tcPr>
            <w:tcW w:w="1368" w:type="dxa"/>
            <w:tcBorders>
              <w:top w:val="single" w:sz="4" w:space="0" w:color="auto"/>
              <w:left w:val="single" w:sz="4" w:space="0" w:color="auto"/>
              <w:bottom w:val="single" w:sz="4" w:space="0" w:color="auto"/>
              <w:right w:val="single" w:sz="4" w:space="0" w:color="auto"/>
            </w:tcBorders>
            <w:hideMark/>
          </w:tcPr>
          <w:p w14:paraId="4DCB69D3" w14:textId="77777777" w:rsidR="00136335" w:rsidRPr="00C04123" w:rsidRDefault="00136335">
            <w:pPr>
              <w:pStyle w:val="Paragraphedeliste"/>
              <w:spacing w:after="0" w:line="240" w:lineRule="auto"/>
              <w:ind w:left="0"/>
              <w:jc w:val="right"/>
              <w:rPr>
                <w:i/>
                <w:iCs/>
              </w:rPr>
            </w:pPr>
            <w:r w:rsidRPr="00C04123">
              <w:rPr>
                <w:i/>
                <w:iCs/>
              </w:rPr>
              <w:t>115 500,00</w:t>
            </w:r>
          </w:p>
        </w:tc>
        <w:tc>
          <w:tcPr>
            <w:tcW w:w="1368" w:type="dxa"/>
            <w:tcBorders>
              <w:top w:val="single" w:sz="4" w:space="0" w:color="auto"/>
              <w:left w:val="single" w:sz="4" w:space="0" w:color="auto"/>
              <w:bottom w:val="single" w:sz="4" w:space="0" w:color="auto"/>
              <w:right w:val="single" w:sz="4" w:space="0" w:color="auto"/>
            </w:tcBorders>
            <w:hideMark/>
          </w:tcPr>
          <w:p w14:paraId="0FA7B386" w14:textId="77777777" w:rsidR="00136335" w:rsidRPr="00C04123" w:rsidRDefault="00136335">
            <w:pPr>
              <w:pStyle w:val="Paragraphedeliste"/>
              <w:spacing w:after="0" w:line="240" w:lineRule="auto"/>
              <w:ind w:left="0"/>
              <w:jc w:val="right"/>
              <w:rPr>
                <w:i/>
                <w:iCs/>
              </w:rPr>
            </w:pPr>
            <w:r w:rsidRPr="00C04123">
              <w:rPr>
                <w:i/>
                <w:iCs/>
              </w:rPr>
              <w:t>4 500,00</w:t>
            </w:r>
          </w:p>
        </w:tc>
      </w:tr>
      <w:tr w:rsidR="00136335" w:rsidRPr="00C04123" w14:paraId="3E16B7F7" w14:textId="77777777" w:rsidTr="00136335">
        <w:trPr>
          <w:trHeight w:val="341"/>
        </w:trPr>
        <w:tc>
          <w:tcPr>
            <w:tcW w:w="846" w:type="dxa"/>
            <w:tcBorders>
              <w:top w:val="single" w:sz="4" w:space="0" w:color="auto"/>
              <w:left w:val="single" w:sz="4" w:space="0" w:color="auto"/>
              <w:bottom w:val="single" w:sz="4" w:space="0" w:color="auto"/>
              <w:right w:val="single" w:sz="4" w:space="0" w:color="auto"/>
            </w:tcBorders>
            <w:hideMark/>
          </w:tcPr>
          <w:p w14:paraId="7B94D6A8" w14:textId="41DF5B06" w:rsidR="00136335" w:rsidRPr="00C04123" w:rsidRDefault="00136335">
            <w:pPr>
              <w:pStyle w:val="Paragraphedeliste"/>
              <w:spacing w:after="0" w:line="240" w:lineRule="auto"/>
              <w:ind w:left="0"/>
              <w:rPr>
                <w:i/>
                <w:iCs/>
              </w:rPr>
            </w:pPr>
            <w:r w:rsidRPr="00C04123">
              <w:rPr>
                <w:i/>
                <w:iCs/>
              </w:rPr>
              <w:t>N+6</w:t>
            </w:r>
          </w:p>
        </w:tc>
        <w:tc>
          <w:tcPr>
            <w:tcW w:w="1276" w:type="dxa"/>
            <w:tcBorders>
              <w:top w:val="single" w:sz="4" w:space="0" w:color="auto"/>
              <w:left w:val="single" w:sz="4" w:space="0" w:color="auto"/>
              <w:bottom w:val="single" w:sz="4" w:space="0" w:color="auto"/>
              <w:right w:val="single" w:sz="4" w:space="0" w:color="auto"/>
            </w:tcBorders>
            <w:hideMark/>
          </w:tcPr>
          <w:p w14:paraId="17FBDAAD" w14:textId="77777777" w:rsidR="00136335" w:rsidRPr="00C04123" w:rsidRDefault="00136335">
            <w:pPr>
              <w:pStyle w:val="Paragraphedeliste"/>
              <w:spacing w:after="0" w:line="240" w:lineRule="auto"/>
              <w:ind w:left="0"/>
              <w:rPr>
                <w:i/>
                <w:iCs/>
              </w:rPr>
            </w:pPr>
            <w:r w:rsidRPr="00C04123">
              <w:rPr>
                <w:i/>
                <w:iCs/>
              </w:rPr>
              <w:t>120 000,00</w:t>
            </w:r>
          </w:p>
        </w:tc>
        <w:tc>
          <w:tcPr>
            <w:tcW w:w="2835" w:type="dxa"/>
            <w:tcBorders>
              <w:top w:val="single" w:sz="4" w:space="0" w:color="auto"/>
              <w:left w:val="single" w:sz="4" w:space="0" w:color="auto"/>
              <w:bottom w:val="single" w:sz="4" w:space="0" w:color="auto"/>
              <w:right w:val="single" w:sz="4" w:space="0" w:color="auto"/>
            </w:tcBorders>
            <w:hideMark/>
          </w:tcPr>
          <w:p w14:paraId="3400EB33" w14:textId="77777777" w:rsidR="00136335" w:rsidRPr="00C04123" w:rsidRDefault="00136335">
            <w:pPr>
              <w:pStyle w:val="Paragraphedeliste"/>
              <w:spacing w:after="0" w:line="240" w:lineRule="auto"/>
              <w:ind w:left="0"/>
              <w:rPr>
                <w:i/>
                <w:iCs/>
              </w:rPr>
            </w:pPr>
            <w:r w:rsidRPr="00C04123">
              <w:rPr>
                <w:i/>
                <w:iCs/>
              </w:rPr>
              <w:t>120 000 x 16,67 % x 0,225</w:t>
            </w:r>
          </w:p>
        </w:tc>
        <w:tc>
          <w:tcPr>
            <w:tcW w:w="1367" w:type="dxa"/>
            <w:tcBorders>
              <w:top w:val="single" w:sz="4" w:space="0" w:color="auto"/>
              <w:left w:val="single" w:sz="4" w:space="0" w:color="auto"/>
              <w:bottom w:val="single" w:sz="4" w:space="0" w:color="auto"/>
              <w:right w:val="single" w:sz="4" w:space="0" w:color="auto"/>
            </w:tcBorders>
            <w:hideMark/>
          </w:tcPr>
          <w:p w14:paraId="224BE0E4" w14:textId="77777777" w:rsidR="00136335" w:rsidRPr="00C04123" w:rsidRDefault="00136335">
            <w:pPr>
              <w:pStyle w:val="Paragraphedeliste"/>
              <w:spacing w:after="0" w:line="240" w:lineRule="auto"/>
              <w:ind w:left="0"/>
              <w:jc w:val="right"/>
              <w:rPr>
                <w:i/>
                <w:iCs/>
              </w:rPr>
            </w:pPr>
            <w:r w:rsidRPr="00C04123">
              <w:rPr>
                <w:i/>
                <w:iCs/>
              </w:rPr>
              <w:t>4 500,00</w:t>
            </w:r>
          </w:p>
        </w:tc>
        <w:tc>
          <w:tcPr>
            <w:tcW w:w="1368" w:type="dxa"/>
            <w:tcBorders>
              <w:top w:val="single" w:sz="4" w:space="0" w:color="auto"/>
              <w:left w:val="single" w:sz="4" w:space="0" w:color="auto"/>
              <w:bottom w:val="single" w:sz="4" w:space="0" w:color="auto"/>
              <w:right w:val="single" w:sz="4" w:space="0" w:color="auto"/>
            </w:tcBorders>
            <w:hideMark/>
          </w:tcPr>
          <w:p w14:paraId="53FF4ABE" w14:textId="77777777" w:rsidR="00136335" w:rsidRPr="00C04123" w:rsidRDefault="00136335">
            <w:pPr>
              <w:pStyle w:val="Paragraphedeliste"/>
              <w:spacing w:after="0" w:line="240" w:lineRule="auto"/>
              <w:ind w:left="0"/>
              <w:jc w:val="right"/>
              <w:rPr>
                <w:i/>
                <w:iCs/>
              </w:rPr>
            </w:pPr>
            <w:r w:rsidRPr="00C04123">
              <w:rPr>
                <w:i/>
                <w:iCs/>
              </w:rPr>
              <w:t>120 000,00</w:t>
            </w:r>
          </w:p>
        </w:tc>
        <w:tc>
          <w:tcPr>
            <w:tcW w:w="1368" w:type="dxa"/>
            <w:tcBorders>
              <w:top w:val="single" w:sz="4" w:space="0" w:color="auto"/>
              <w:left w:val="single" w:sz="4" w:space="0" w:color="auto"/>
              <w:bottom w:val="single" w:sz="4" w:space="0" w:color="auto"/>
              <w:right w:val="single" w:sz="4" w:space="0" w:color="auto"/>
            </w:tcBorders>
            <w:hideMark/>
          </w:tcPr>
          <w:p w14:paraId="03E3328B" w14:textId="77777777" w:rsidR="00136335" w:rsidRPr="00C04123" w:rsidRDefault="00136335">
            <w:pPr>
              <w:pStyle w:val="Paragraphedeliste"/>
              <w:spacing w:after="0" w:line="240" w:lineRule="auto"/>
              <w:ind w:left="0"/>
              <w:jc w:val="right"/>
              <w:rPr>
                <w:i/>
                <w:iCs/>
              </w:rPr>
            </w:pPr>
            <w:r w:rsidRPr="00C04123">
              <w:rPr>
                <w:i/>
                <w:iCs/>
              </w:rPr>
              <w:t>0</w:t>
            </w:r>
          </w:p>
        </w:tc>
      </w:tr>
    </w:tbl>
    <w:p w14:paraId="089C64C9" w14:textId="77777777" w:rsidR="00136335" w:rsidRDefault="00136335" w:rsidP="00136335">
      <w:pPr>
        <w:pStyle w:val="Paragraphedeliste"/>
        <w:spacing w:after="0"/>
        <w:ind w:left="0"/>
      </w:pPr>
    </w:p>
    <w:p w14:paraId="72D335A1" w14:textId="77777777" w:rsidR="00136335" w:rsidRDefault="00136335" w:rsidP="00136335">
      <w:pPr>
        <w:pStyle w:val="Titre3"/>
      </w:pPr>
      <w:r>
        <w:t>La comptabilisation de l’amortissement</w:t>
      </w:r>
    </w:p>
    <w:tbl>
      <w:tblPr>
        <w:tblStyle w:val="Grilledutableau"/>
        <w:tblW w:w="0" w:type="auto"/>
        <w:tblLook w:val="04A0" w:firstRow="1" w:lastRow="0" w:firstColumn="1" w:lastColumn="0" w:noHBand="0" w:noVBand="1"/>
      </w:tblPr>
      <w:tblGrid>
        <w:gridCol w:w="1129"/>
        <w:gridCol w:w="4395"/>
        <w:gridCol w:w="1417"/>
        <w:gridCol w:w="1418"/>
      </w:tblGrid>
      <w:tr w:rsidR="00136335" w14:paraId="451EA7AE" w14:textId="77777777" w:rsidTr="00136335">
        <w:tc>
          <w:tcPr>
            <w:tcW w:w="1129" w:type="dxa"/>
            <w:tcBorders>
              <w:top w:val="nil"/>
              <w:left w:val="single" w:sz="4" w:space="0" w:color="auto"/>
              <w:bottom w:val="nil"/>
              <w:right w:val="single" w:sz="4" w:space="0" w:color="auto"/>
            </w:tcBorders>
          </w:tcPr>
          <w:p w14:paraId="2BBD4DB0" w14:textId="77777777" w:rsidR="00136335" w:rsidRDefault="00136335">
            <w:pPr>
              <w:pStyle w:val="Paragraphedeliste"/>
              <w:spacing w:after="0" w:line="240" w:lineRule="auto"/>
              <w:ind w:left="0"/>
            </w:pPr>
          </w:p>
        </w:tc>
        <w:tc>
          <w:tcPr>
            <w:tcW w:w="4395" w:type="dxa"/>
            <w:tcBorders>
              <w:top w:val="single" w:sz="4" w:space="0" w:color="auto"/>
              <w:left w:val="single" w:sz="4" w:space="0" w:color="auto"/>
              <w:bottom w:val="nil"/>
              <w:right w:val="single" w:sz="4" w:space="0" w:color="auto"/>
            </w:tcBorders>
            <w:vAlign w:val="center"/>
            <w:hideMark/>
          </w:tcPr>
          <w:p w14:paraId="185A1781" w14:textId="77777777" w:rsidR="00136335" w:rsidRDefault="00136335">
            <w:pPr>
              <w:pStyle w:val="Paragraphedeliste"/>
              <w:spacing w:after="0" w:line="240" w:lineRule="auto"/>
              <w:ind w:left="0"/>
              <w:jc w:val="center"/>
            </w:pPr>
            <w:r>
              <w:t>31/12/N</w:t>
            </w:r>
          </w:p>
        </w:tc>
        <w:tc>
          <w:tcPr>
            <w:tcW w:w="1417" w:type="dxa"/>
            <w:tcBorders>
              <w:top w:val="nil"/>
              <w:left w:val="single" w:sz="4" w:space="0" w:color="auto"/>
              <w:bottom w:val="nil"/>
              <w:right w:val="single" w:sz="4" w:space="0" w:color="auto"/>
            </w:tcBorders>
          </w:tcPr>
          <w:p w14:paraId="53447D0A" w14:textId="77777777" w:rsidR="00136335" w:rsidRDefault="00136335">
            <w:pPr>
              <w:pStyle w:val="Paragraphedeliste"/>
              <w:spacing w:after="0" w:line="240" w:lineRule="auto"/>
              <w:ind w:left="0"/>
            </w:pPr>
          </w:p>
        </w:tc>
        <w:tc>
          <w:tcPr>
            <w:tcW w:w="1418" w:type="dxa"/>
            <w:tcBorders>
              <w:top w:val="nil"/>
              <w:left w:val="single" w:sz="4" w:space="0" w:color="auto"/>
              <w:bottom w:val="nil"/>
              <w:right w:val="single" w:sz="4" w:space="0" w:color="auto"/>
            </w:tcBorders>
          </w:tcPr>
          <w:p w14:paraId="057DC5EC" w14:textId="77777777" w:rsidR="00136335" w:rsidRDefault="00136335">
            <w:pPr>
              <w:pStyle w:val="Paragraphedeliste"/>
              <w:spacing w:after="0" w:line="240" w:lineRule="auto"/>
              <w:ind w:left="0"/>
            </w:pPr>
          </w:p>
        </w:tc>
      </w:tr>
      <w:tr w:rsidR="00136335" w14:paraId="687A16D6" w14:textId="77777777" w:rsidTr="00136335">
        <w:tc>
          <w:tcPr>
            <w:tcW w:w="1129" w:type="dxa"/>
            <w:tcBorders>
              <w:top w:val="nil"/>
              <w:left w:val="single" w:sz="4" w:space="0" w:color="auto"/>
              <w:bottom w:val="nil"/>
              <w:right w:val="single" w:sz="4" w:space="0" w:color="auto"/>
            </w:tcBorders>
          </w:tcPr>
          <w:p w14:paraId="441399D9" w14:textId="77777777" w:rsidR="00136335" w:rsidRDefault="00136335">
            <w:pPr>
              <w:pStyle w:val="Paragraphedeliste"/>
              <w:spacing w:after="0" w:line="240" w:lineRule="auto"/>
              <w:ind w:left="0"/>
              <w:jc w:val="center"/>
            </w:pPr>
            <w:r>
              <w:t>6811</w:t>
            </w:r>
          </w:p>
          <w:p w14:paraId="3F01F94B" w14:textId="77777777" w:rsidR="00136335" w:rsidRDefault="00136335">
            <w:pPr>
              <w:pStyle w:val="Paragraphedeliste"/>
              <w:spacing w:after="0" w:line="240" w:lineRule="auto"/>
              <w:ind w:left="0"/>
              <w:jc w:val="center"/>
            </w:pPr>
          </w:p>
          <w:p w14:paraId="49C57575" w14:textId="77777777" w:rsidR="00136335" w:rsidRDefault="00136335">
            <w:pPr>
              <w:pStyle w:val="Paragraphedeliste"/>
              <w:spacing w:after="0" w:line="240" w:lineRule="auto"/>
              <w:ind w:left="0"/>
              <w:jc w:val="center"/>
            </w:pPr>
            <w:r>
              <w:t>281</w:t>
            </w:r>
          </w:p>
        </w:tc>
        <w:tc>
          <w:tcPr>
            <w:tcW w:w="4395" w:type="dxa"/>
            <w:tcBorders>
              <w:top w:val="nil"/>
              <w:left w:val="single" w:sz="4" w:space="0" w:color="auto"/>
              <w:bottom w:val="nil"/>
              <w:right w:val="single" w:sz="4" w:space="0" w:color="auto"/>
            </w:tcBorders>
            <w:hideMark/>
          </w:tcPr>
          <w:p w14:paraId="3737E0B9" w14:textId="77777777" w:rsidR="00136335" w:rsidRDefault="00136335">
            <w:pPr>
              <w:pStyle w:val="Paragraphedeliste"/>
              <w:spacing w:after="0" w:line="240" w:lineRule="auto"/>
              <w:ind w:left="0"/>
            </w:pPr>
            <w:r>
              <w:t>Dotations aux amortissements des immobilisations</w:t>
            </w:r>
          </w:p>
          <w:p w14:paraId="75B4DD2A" w14:textId="77777777" w:rsidR="00136335" w:rsidRDefault="00136335">
            <w:pPr>
              <w:pStyle w:val="Paragraphedeliste"/>
              <w:spacing w:after="0" w:line="240" w:lineRule="auto"/>
              <w:ind w:left="0"/>
            </w:pPr>
            <w:r>
              <w:t xml:space="preserve">        Amortissement des immobilisations</w:t>
            </w:r>
          </w:p>
        </w:tc>
        <w:tc>
          <w:tcPr>
            <w:tcW w:w="1417" w:type="dxa"/>
            <w:tcBorders>
              <w:top w:val="nil"/>
              <w:left w:val="single" w:sz="4" w:space="0" w:color="auto"/>
              <w:bottom w:val="nil"/>
              <w:right w:val="single" w:sz="4" w:space="0" w:color="auto"/>
            </w:tcBorders>
            <w:hideMark/>
          </w:tcPr>
          <w:p w14:paraId="36958ACC" w14:textId="77777777" w:rsidR="00136335" w:rsidRDefault="00136335">
            <w:pPr>
              <w:pStyle w:val="Paragraphedeliste"/>
              <w:spacing w:after="0" w:line="240" w:lineRule="auto"/>
              <w:ind w:left="0"/>
              <w:jc w:val="right"/>
            </w:pPr>
            <w:r>
              <w:t>15 500,00</w:t>
            </w:r>
          </w:p>
        </w:tc>
        <w:tc>
          <w:tcPr>
            <w:tcW w:w="1418" w:type="dxa"/>
            <w:tcBorders>
              <w:top w:val="nil"/>
              <w:left w:val="single" w:sz="4" w:space="0" w:color="auto"/>
              <w:bottom w:val="nil"/>
              <w:right w:val="single" w:sz="4" w:space="0" w:color="auto"/>
            </w:tcBorders>
          </w:tcPr>
          <w:p w14:paraId="21FA7560" w14:textId="77777777" w:rsidR="00136335" w:rsidRDefault="00136335">
            <w:pPr>
              <w:pStyle w:val="Paragraphedeliste"/>
              <w:spacing w:after="0" w:line="240" w:lineRule="auto"/>
              <w:ind w:left="0"/>
              <w:jc w:val="right"/>
            </w:pPr>
          </w:p>
          <w:p w14:paraId="20759F5F" w14:textId="77777777" w:rsidR="00136335" w:rsidRDefault="00136335">
            <w:pPr>
              <w:pStyle w:val="Paragraphedeliste"/>
              <w:spacing w:after="0" w:line="240" w:lineRule="auto"/>
              <w:ind w:left="0"/>
              <w:jc w:val="right"/>
            </w:pPr>
          </w:p>
          <w:p w14:paraId="5B6FBB87" w14:textId="77777777" w:rsidR="00136335" w:rsidRDefault="00136335">
            <w:pPr>
              <w:pStyle w:val="Paragraphedeliste"/>
              <w:spacing w:after="0" w:line="240" w:lineRule="auto"/>
              <w:ind w:left="0"/>
              <w:jc w:val="right"/>
            </w:pPr>
            <w:r>
              <w:t>15 500,00</w:t>
            </w:r>
          </w:p>
        </w:tc>
      </w:tr>
      <w:tr w:rsidR="00136335" w14:paraId="43D7A490" w14:textId="77777777" w:rsidTr="00136335">
        <w:tc>
          <w:tcPr>
            <w:tcW w:w="1129" w:type="dxa"/>
            <w:tcBorders>
              <w:top w:val="nil"/>
              <w:left w:val="single" w:sz="4" w:space="0" w:color="auto"/>
              <w:bottom w:val="nil"/>
              <w:right w:val="single" w:sz="4" w:space="0" w:color="auto"/>
            </w:tcBorders>
          </w:tcPr>
          <w:p w14:paraId="2ECB060E" w14:textId="77777777" w:rsidR="00136335" w:rsidRDefault="00136335">
            <w:pPr>
              <w:pStyle w:val="Paragraphedeliste"/>
              <w:spacing w:after="0" w:line="240" w:lineRule="auto"/>
              <w:ind w:left="0"/>
            </w:pPr>
          </w:p>
        </w:tc>
        <w:tc>
          <w:tcPr>
            <w:tcW w:w="4395" w:type="dxa"/>
            <w:tcBorders>
              <w:top w:val="nil"/>
              <w:left w:val="single" w:sz="4" w:space="0" w:color="auto"/>
              <w:bottom w:val="single" w:sz="4" w:space="0" w:color="auto"/>
              <w:right w:val="single" w:sz="4" w:space="0" w:color="auto"/>
            </w:tcBorders>
            <w:vAlign w:val="center"/>
            <w:hideMark/>
          </w:tcPr>
          <w:p w14:paraId="3DB419A8" w14:textId="77777777" w:rsidR="00136335" w:rsidRDefault="00136335">
            <w:pPr>
              <w:pStyle w:val="Paragraphedeliste"/>
              <w:spacing w:after="0" w:line="240" w:lineRule="auto"/>
              <w:ind w:left="0"/>
              <w:jc w:val="center"/>
            </w:pPr>
            <w:r>
              <w:t>(Dotation année N)</w:t>
            </w:r>
          </w:p>
        </w:tc>
        <w:tc>
          <w:tcPr>
            <w:tcW w:w="1417" w:type="dxa"/>
            <w:tcBorders>
              <w:top w:val="nil"/>
              <w:left w:val="single" w:sz="4" w:space="0" w:color="auto"/>
              <w:bottom w:val="nil"/>
              <w:right w:val="single" w:sz="4" w:space="0" w:color="auto"/>
            </w:tcBorders>
          </w:tcPr>
          <w:p w14:paraId="41492250" w14:textId="77777777" w:rsidR="00136335" w:rsidRDefault="00136335">
            <w:pPr>
              <w:pStyle w:val="Paragraphedeliste"/>
              <w:spacing w:after="0" w:line="240" w:lineRule="auto"/>
              <w:ind w:left="0"/>
            </w:pPr>
          </w:p>
        </w:tc>
        <w:tc>
          <w:tcPr>
            <w:tcW w:w="1418" w:type="dxa"/>
            <w:tcBorders>
              <w:top w:val="nil"/>
              <w:left w:val="single" w:sz="4" w:space="0" w:color="auto"/>
              <w:bottom w:val="nil"/>
              <w:right w:val="single" w:sz="4" w:space="0" w:color="auto"/>
            </w:tcBorders>
          </w:tcPr>
          <w:p w14:paraId="2DB64090" w14:textId="77777777" w:rsidR="00136335" w:rsidRDefault="00136335">
            <w:pPr>
              <w:pStyle w:val="Paragraphedeliste"/>
              <w:spacing w:after="0" w:line="240" w:lineRule="auto"/>
              <w:ind w:left="0"/>
            </w:pPr>
          </w:p>
        </w:tc>
      </w:tr>
    </w:tbl>
    <w:p w14:paraId="42D0F065" w14:textId="77777777" w:rsidR="00136335" w:rsidRDefault="00136335" w:rsidP="00136335">
      <w:pPr>
        <w:pStyle w:val="Paragraphedeliste"/>
        <w:ind w:left="0"/>
      </w:pPr>
    </w:p>
    <w:p w14:paraId="64A3227D" w14:textId="77777777" w:rsidR="00136335" w:rsidRDefault="00136335" w:rsidP="00136335">
      <w:pPr>
        <w:pStyle w:val="Titre3"/>
      </w:pPr>
      <w:r>
        <w:t>L’impact de l’amortissement sur les documents de synthèse</w:t>
      </w:r>
    </w:p>
    <w:p w14:paraId="616F0068" w14:textId="77777777" w:rsidR="00136335" w:rsidRDefault="00136335" w:rsidP="00136335">
      <w:pPr>
        <w:pStyle w:val="Titre4"/>
      </w:pPr>
      <w:r>
        <w:t>Sur le résultat</w:t>
      </w:r>
    </w:p>
    <w:p w14:paraId="7A6F7E4E" w14:textId="77777777" w:rsidR="00136335" w:rsidRDefault="00136335" w:rsidP="00136335">
      <w:r>
        <w:t>La dotation aux amortissements mouvemente un compte de charge. On dit que l’amortissement est une charge calculée. Il représente donc un appauvrissement de l’entreprise et fait donc diminuer le résultat.</w:t>
      </w:r>
    </w:p>
    <w:p w14:paraId="224D5F16" w14:textId="77777777" w:rsidR="00136335" w:rsidRPr="00136335" w:rsidRDefault="00136335" w:rsidP="00136335">
      <w:pPr>
        <w:pStyle w:val="Titre4"/>
      </w:pPr>
      <w:r w:rsidRPr="00136335">
        <w:t xml:space="preserve">Sur </w:t>
      </w:r>
      <w:r w:rsidRPr="00136335">
        <w:rPr>
          <w:rStyle w:val="Titre4Car"/>
          <w:i/>
          <w:iCs/>
        </w:rPr>
        <w:t>le</w:t>
      </w:r>
      <w:r w:rsidRPr="00136335">
        <w:t xml:space="preserve"> bilan</w:t>
      </w:r>
    </w:p>
    <w:p w14:paraId="0D45A670" w14:textId="165030BB" w:rsidR="00136335" w:rsidRDefault="00136335" w:rsidP="00136335">
      <w:r>
        <w:t>L’écriture de dotation aux amortissements utilise un compte d’actif, le compte d’amortissement. Ce compte a la particularité d’être un compte d’actif qui fonctionne principalement au crédit. Il figure dans la colonne Amortissement</w:t>
      </w:r>
      <w:r>
        <w:t>s</w:t>
      </w:r>
      <w:r>
        <w:t xml:space="preserve"> et dépréciations qui se déduit de ce qui est mentionné dans la colonne Brut pour faire appara</w:t>
      </w:r>
      <w:r>
        <w:t>î</w:t>
      </w:r>
      <w:r>
        <w:t>tre dans la colonne Net la valeur nette comptable de l’immobilisation. Les comptes d’amortissement sont des comptes d’actif soustractifs. En conséquence, l’amortissement fait diminuer l’actif du bilan.</w:t>
      </w:r>
    </w:p>
    <w:p w14:paraId="440EC930" w14:textId="77777777" w:rsidR="00136335" w:rsidRDefault="00136335" w:rsidP="00525C0E">
      <w:pPr>
        <w:pStyle w:val="Titre4"/>
      </w:pPr>
      <w:r>
        <w:lastRenderedPageBreak/>
        <w:t>Sur la trésorerie</w:t>
      </w:r>
    </w:p>
    <w:p w14:paraId="0649209D" w14:textId="77777777" w:rsidR="00136335" w:rsidRDefault="00136335" w:rsidP="00525C0E">
      <w:r>
        <w:t>L’amortissement est une charge calculée qui ne donne pas lieu à des décaissements. Il est donc sans aucun effet sur la trésorerie.</w:t>
      </w:r>
    </w:p>
    <w:p w14:paraId="3E74E946" w14:textId="77777777" w:rsidR="00136335" w:rsidRDefault="00136335" w:rsidP="00136335">
      <w:pPr>
        <w:spacing w:after="0"/>
        <w:ind w:left="1080"/>
      </w:pPr>
    </w:p>
    <w:p w14:paraId="2625EBC9" w14:textId="225B8F9C" w:rsidR="00136335" w:rsidRDefault="00136335" w:rsidP="00525C0E">
      <w:pPr>
        <w:pStyle w:val="Titre2"/>
      </w:pPr>
      <w:r>
        <w:t>La cession d’immobilisation</w:t>
      </w:r>
    </w:p>
    <w:p w14:paraId="17D35131" w14:textId="77777777" w:rsidR="00136335" w:rsidRDefault="00136335" w:rsidP="00C04123">
      <w:r>
        <w:t>Les cessions d’immobilisations imposent de procéder à des régularisations lors de l’inventaire.</w:t>
      </w:r>
    </w:p>
    <w:p w14:paraId="20DE901B" w14:textId="77777777" w:rsidR="00136335" w:rsidRDefault="00136335" w:rsidP="00C04123">
      <w:pPr>
        <w:pStyle w:val="Titre3"/>
      </w:pPr>
      <w:r>
        <w:t>La justification de ces régularisations</w:t>
      </w:r>
    </w:p>
    <w:p w14:paraId="154B2458" w14:textId="7218929F" w:rsidR="00136335" w:rsidRDefault="00136335" w:rsidP="00C04123">
      <w:r>
        <w:t>Lors de la cession, l’entreprise ne fait qu’enregistrer la cession, c’est-à-dire l’existence du prix de cession par l’écriture suivante</w:t>
      </w:r>
      <w:r w:rsidR="00C04123">
        <w:t> :</w:t>
      </w:r>
    </w:p>
    <w:tbl>
      <w:tblPr>
        <w:tblStyle w:val="Grilledutableau"/>
        <w:tblW w:w="0" w:type="auto"/>
        <w:tblLook w:val="04A0" w:firstRow="1" w:lastRow="0" w:firstColumn="1" w:lastColumn="0" w:noHBand="0" w:noVBand="1"/>
      </w:tblPr>
      <w:tblGrid>
        <w:gridCol w:w="1271"/>
        <w:gridCol w:w="4111"/>
        <w:gridCol w:w="1839"/>
        <w:gridCol w:w="1839"/>
      </w:tblGrid>
      <w:tr w:rsidR="00136335" w14:paraId="4E7E81DA" w14:textId="77777777" w:rsidTr="00136335">
        <w:tc>
          <w:tcPr>
            <w:tcW w:w="1271" w:type="dxa"/>
            <w:vMerge w:val="restart"/>
            <w:tcBorders>
              <w:top w:val="single" w:sz="4" w:space="0" w:color="auto"/>
              <w:left w:val="single" w:sz="4" w:space="0" w:color="auto"/>
              <w:bottom w:val="single" w:sz="4" w:space="0" w:color="auto"/>
              <w:right w:val="single" w:sz="4" w:space="0" w:color="auto"/>
            </w:tcBorders>
            <w:hideMark/>
          </w:tcPr>
          <w:p w14:paraId="7EBDF0D9" w14:textId="77777777" w:rsidR="00136335" w:rsidRDefault="00136335">
            <w:pPr>
              <w:spacing w:after="0" w:line="240" w:lineRule="auto"/>
            </w:pPr>
            <w:r>
              <w:t xml:space="preserve"> </w:t>
            </w:r>
          </w:p>
          <w:p w14:paraId="57CDAD77" w14:textId="77777777" w:rsidR="00136335" w:rsidRDefault="00136335">
            <w:pPr>
              <w:spacing w:after="0" w:line="240" w:lineRule="auto"/>
              <w:jc w:val="center"/>
            </w:pPr>
            <w:r>
              <w:t>461</w:t>
            </w:r>
          </w:p>
          <w:p w14:paraId="08849928" w14:textId="77777777" w:rsidR="00136335" w:rsidRDefault="00136335">
            <w:pPr>
              <w:spacing w:after="0" w:line="240" w:lineRule="auto"/>
              <w:jc w:val="right"/>
            </w:pPr>
            <w:r>
              <w:t>775</w:t>
            </w:r>
          </w:p>
        </w:tc>
        <w:tc>
          <w:tcPr>
            <w:tcW w:w="4111" w:type="dxa"/>
            <w:tcBorders>
              <w:top w:val="single" w:sz="4" w:space="0" w:color="auto"/>
              <w:left w:val="single" w:sz="4" w:space="0" w:color="auto"/>
              <w:bottom w:val="nil"/>
              <w:right w:val="single" w:sz="4" w:space="0" w:color="auto"/>
            </w:tcBorders>
            <w:hideMark/>
          </w:tcPr>
          <w:p w14:paraId="61F44EB9" w14:textId="77777777" w:rsidR="00136335" w:rsidRPr="00C04123" w:rsidRDefault="00136335">
            <w:pPr>
              <w:spacing w:after="0" w:line="240" w:lineRule="auto"/>
              <w:jc w:val="center"/>
              <w:rPr>
                <w:i/>
                <w:iCs/>
              </w:rPr>
            </w:pPr>
            <w:r w:rsidRPr="00C04123">
              <w:rPr>
                <w:i/>
                <w:iCs/>
              </w:rPr>
              <w:t>Date de cession</w:t>
            </w:r>
          </w:p>
        </w:tc>
        <w:tc>
          <w:tcPr>
            <w:tcW w:w="1839" w:type="dxa"/>
            <w:vMerge w:val="restart"/>
            <w:tcBorders>
              <w:top w:val="single" w:sz="4" w:space="0" w:color="auto"/>
              <w:left w:val="single" w:sz="4" w:space="0" w:color="auto"/>
              <w:bottom w:val="single" w:sz="4" w:space="0" w:color="auto"/>
              <w:right w:val="single" w:sz="4" w:space="0" w:color="auto"/>
            </w:tcBorders>
          </w:tcPr>
          <w:p w14:paraId="747CFC13" w14:textId="77777777" w:rsidR="00136335" w:rsidRDefault="00136335">
            <w:pPr>
              <w:spacing w:after="0" w:line="240" w:lineRule="auto"/>
              <w:jc w:val="center"/>
            </w:pPr>
          </w:p>
          <w:p w14:paraId="79DF622E" w14:textId="77777777" w:rsidR="00136335" w:rsidRDefault="00136335">
            <w:pPr>
              <w:spacing w:after="0" w:line="240" w:lineRule="auto"/>
              <w:jc w:val="center"/>
            </w:pPr>
            <w:r>
              <w:t>Prix de vente</w:t>
            </w:r>
          </w:p>
          <w:p w14:paraId="09C67387" w14:textId="77777777" w:rsidR="00136335" w:rsidRDefault="00136335">
            <w:pPr>
              <w:spacing w:after="0" w:line="240" w:lineRule="auto"/>
              <w:jc w:val="center"/>
            </w:pPr>
          </w:p>
        </w:tc>
        <w:tc>
          <w:tcPr>
            <w:tcW w:w="1839" w:type="dxa"/>
            <w:vMerge w:val="restart"/>
            <w:tcBorders>
              <w:top w:val="single" w:sz="4" w:space="0" w:color="auto"/>
              <w:left w:val="single" w:sz="4" w:space="0" w:color="auto"/>
              <w:bottom w:val="single" w:sz="4" w:space="0" w:color="auto"/>
              <w:right w:val="single" w:sz="4" w:space="0" w:color="auto"/>
            </w:tcBorders>
          </w:tcPr>
          <w:p w14:paraId="1D4ABC6A" w14:textId="77777777" w:rsidR="00136335" w:rsidRDefault="00136335">
            <w:pPr>
              <w:spacing w:after="0" w:line="240" w:lineRule="auto"/>
              <w:jc w:val="center"/>
            </w:pPr>
          </w:p>
          <w:p w14:paraId="572AF517" w14:textId="77777777" w:rsidR="00136335" w:rsidRDefault="00136335">
            <w:pPr>
              <w:spacing w:after="0" w:line="240" w:lineRule="auto"/>
              <w:jc w:val="center"/>
            </w:pPr>
          </w:p>
          <w:p w14:paraId="2609513E" w14:textId="77777777" w:rsidR="00136335" w:rsidRDefault="00136335">
            <w:pPr>
              <w:spacing w:after="0" w:line="240" w:lineRule="auto"/>
              <w:jc w:val="center"/>
            </w:pPr>
            <w:r>
              <w:t>Prix de vente</w:t>
            </w:r>
          </w:p>
        </w:tc>
      </w:tr>
      <w:tr w:rsidR="00136335" w14:paraId="24060603" w14:textId="77777777" w:rsidTr="00136335">
        <w:tc>
          <w:tcPr>
            <w:tcW w:w="0" w:type="auto"/>
            <w:vMerge/>
            <w:tcBorders>
              <w:top w:val="single" w:sz="4" w:space="0" w:color="auto"/>
              <w:left w:val="single" w:sz="4" w:space="0" w:color="auto"/>
              <w:bottom w:val="single" w:sz="4" w:space="0" w:color="auto"/>
              <w:right w:val="single" w:sz="4" w:space="0" w:color="auto"/>
            </w:tcBorders>
            <w:vAlign w:val="center"/>
            <w:hideMark/>
          </w:tcPr>
          <w:p w14:paraId="6648693A" w14:textId="77777777" w:rsidR="00136335" w:rsidRDefault="00136335">
            <w:pPr>
              <w:spacing w:after="0" w:line="240" w:lineRule="auto"/>
            </w:pPr>
          </w:p>
        </w:tc>
        <w:tc>
          <w:tcPr>
            <w:tcW w:w="4111" w:type="dxa"/>
            <w:tcBorders>
              <w:top w:val="nil"/>
              <w:left w:val="single" w:sz="4" w:space="0" w:color="auto"/>
              <w:bottom w:val="single" w:sz="4" w:space="0" w:color="auto"/>
              <w:right w:val="single" w:sz="4" w:space="0" w:color="auto"/>
            </w:tcBorders>
            <w:hideMark/>
          </w:tcPr>
          <w:p w14:paraId="02F9B888" w14:textId="77777777" w:rsidR="00136335" w:rsidRDefault="00136335">
            <w:pPr>
              <w:spacing w:after="0" w:line="240" w:lineRule="auto"/>
            </w:pPr>
            <w:r>
              <w:t>Créances sur cession d’immobilisations</w:t>
            </w:r>
          </w:p>
          <w:p w14:paraId="4128E072" w14:textId="77777777" w:rsidR="00136335" w:rsidRDefault="00136335">
            <w:pPr>
              <w:spacing w:after="0" w:line="240" w:lineRule="auto"/>
              <w:jc w:val="right"/>
            </w:pPr>
            <w:r>
              <w:t>Produits des cessions d’éléments</w:t>
            </w:r>
          </w:p>
          <w:p w14:paraId="5837413E" w14:textId="77777777" w:rsidR="00136335" w:rsidRDefault="00136335">
            <w:pPr>
              <w:spacing w:after="0" w:line="240" w:lineRule="auto"/>
            </w:pPr>
            <w:r>
              <w:t>d’actif</w:t>
            </w:r>
          </w:p>
          <w:p w14:paraId="5ACED179" w14:textId="33BDD0ED" w:rsidR="00136335" w:rsidRDefault="00136335">
            <w:pPr>
              <w:spacing w:after="0" w:line="240" w:lineRule="auto"/>
              <w:jc w:val="center"/>
            </w:pPr>
            <w:r>
              <w:t>(Facture 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6E2A7" w14:textId="77777777" w:rsidR="00136335" w:rsidRDefault="0013633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1F662" w14:textId="77777777" w:rsidR="00136335" w:rsidRDefault="00136335">
            <w:pPr>
              <w:spacing w:after="0" w:line="240" w:lineRule="auto"/>
            </w:pPr>
          </w:p>
        </w:tc>
      </w:tr>
    </w:tbl>
    <w:p w14:paraId="16217709" w14:textId="26FED459" w:rsidR="00136335" w:rsidRDefault="00136335" w:rsidP="00C04123">
      <w:pPr>
        <w:rPr>
          <w:rFonts w:cstheme="minorBidi"/>
        </w:rPr>
      </w:pPr>
      <w:r>
        <w:t xml:space="preserve">Les comptes 21 et 218 liés à l’immobilisations cédée ne sont </w:t>
      </w:r>
      <w:r w:rsidR="00C04123">
        <w:t>pas</w:t>
      </w:r>
      <w:r>
        <w:t xml:space="preserve"> mis à jour par le biais de cette écriture. Ces comptes doivent donc faire l’objet de corrections.</w:t>
      </w:r>
    </w:p>
    <w:p w14:paraId="1CE054DC" w14:textId="77777777" w:rsidR="00136335" w:rsidRDefault="00136335" w:rsidP="00C04123">
      <w:pPr>
        <w:pStyle w:val="Titre3"/>
      </w:pPr>
      <w:r>
        <w:t>Les étapes de la régularisation</w:t>
      </w:r>
      <w:bookmarkStart w:id="0" w:name="_GoBack"/>
      <w:bookmarkEnd w:id="0"/>
    </w:p>
    <w:p w14:paraId="6524456D" w14:textId="77777777" w:rsidR="00136335" w:rsidRDefault="00136335" w:rsidP="00C04123">
      <w:pPr>
        <w:pStyle w:val="Titre4"/>
      </w:pPr>
      <w:r>
        <w:t>Le calcul de la dotation complémentaire aux amortissements</w:t>
      </w:r>
    </w:p>
    <w:p w14:paraId="3B8847B5" w14:textId="77777777" w:rsidR="00136335" w:rsidRDefault="00136335" w:rsidP="00C04123">
      <w:r>
        <w:t xml:space="preserve">Cette dotation complémentaire correspond à la perte de valeur de l’immobilisation jusqu’à la date de sa cession (depuis le début de l’exercice). Il faut donc calculer un prorata </w:t>
      </w:r>
      <w:proofErr w:type="spellStart"/>
      <w:r>
        <w:t>temporis</w:t>
      </w:r>
      <w:proofErr w:type="spellEnd"/>
      <w:r>
        <w:t xml:space="preserve"> pour cette durée.</w:t>
      </w:r>
    </w:p>
    <w:p w14:paraId="379FF435" w14:textId="05823E5B" w:rsidR="00136335" w:rsidRPr="00C04123" w:rsidRDefault="00136335" w:rsidP="00C04123">
      <w:pPr>
        <w:rPr>
          <w:i/>
          <w:iCs/>
        </w:rPr>
      </w:pPr>
      <w:r w:rsidRPr="00C04123">
        <w:rPr>
          <w:i/>
          <w:iCs/>
        </w:rPr>
        <w:t>Exemple : la machine-outil acheté en N a été vendue le 01/07 N + 3 au prix de 45 000 €.</w:t>
      </w:r>
      <w:r w:rsidR="00C04123">
        <w:rPr>
          <w:i/>
          <w:iCs/>
        </w:rPr>
        <w:t xml:space="preserve"> </w:t>
      </w:r>
      <w:r w:rsidRPr="00C04123">
        <w:rPr>
          <w:i/>
          <w:iCs/>
        </w:rPr>
        <w:t xml:space="preserve">Il faut calculer l’annuité spécifique pour l’année N+3. Le prorata </w:t>
      </w:r>
      <w:proofErr w:type="spellStart"/>
      <w:r w:rsidRPr="00C04123">
        <w:rPr>
          <w:i/>
          <w:iCs/>
        </w:rPr>
        <w:t>temporis</w:t>
      </w:r>
      <w:proofErr w:type="spellEnd"/>
      <w:r w:rsidRPr="00C04123">
        <w:rPr>
          <w:i/>
          <w:iCs/>
        </w:rPr>
        <w:t xml:space="preserve"> est de 6 x 30 /360 soit ½</w:t>
      </w:r>
      <w:r w:rsidR="00C04123">
        <w:rPr>
          <w:i/>
          <w:iCs/>
        </w:rPr>
        <w:t>.</w:t>
      </w:r>
    </w:p>
    <w:p w14:paraId="0E68619C" w14:textId="30EFD334" w:rsidR="00136335" w:rsidRPr="00C04123" w:rsidRDefault="00136335" w:rsidP="00C04123">
      <w:pPr>
        <w:rPr>
          <w:i/>
          <w:iCs/>
        </w:rPr>
      </w:pPr>
      <w:r w:rsidRPr="00C04123">
        <w:rPr>
          <w:i/>
          <w:iCs/>
        </w:rPr>
        <w:t>L’annuité complémentaire est de 120 000 x 16,67 % x ½ = 10 000 €</w:t>
      </w:r>
    </w:p>
    <w:p w14:paraId="113E0A67" w14:textId="77777777" w:rsidR="00136335" w:rsidRPr="00C04123" w:rsidRDefault="00136335" w:rsidP="00C04123">
      <w:r w:rsidRPr="00C04123">
        <w:t>L’écriture à passer est la suivante :</w:t>
      </w:r>
    </w:p>
    <w:tbl>
      <w:tblPr>
        <w:tblStyle w:val="Grilledutableau"/>
        <w:tblW w:w="0" w:type="auto"/>
        <w:tblInd w:w="988" w:type="dxa"/>
        <w:tblLook w:val="04A0" w:firstRow="1" w:lastRow="0" w:firstColumn="1" w:lastColumn="0" w:noHBand="0" w:noVBand="1"/>
      </w:tblPr>
      <w:tblGrid>
        <w:gridCol w:w="992"/>
        <w:gridCol w:w="3969"/>
        <w:gridCol w:w="1276"/>
        <w:gridCol w:w="1134"/>
      </w:tblGrid>
      <w:tr w:rsidR="00136335" w:rsidRPr="00C04123" w14:paraId="5FC9DBF5" w14:textId="77777777" w:rsidTr="00136335">
        <w:tc>
          <w:tcPr>
            <w:tcW w:w="992" w:type="dxa"/>
            <w:tcBorders>
              <w:top w:val="nil"/>
              <w:left w:val="single" w:sz="4" w:space="0" w:color="auto"/>
              <w:bottom w:val="nil"/>
              <w:right w:val="single" w:sz="4" w:space="0" w:color="auto"/>
            </w:tcBorders>
          </w:tcPr>
          <w:p w14:paraId="1421C293" w14:textId="77777777" w:rsidR="00136335" w:rsidRPr="00C04123" w:rsidRDefault="00136335">
            <w:pPr>
              <w:pStyle w:val="Paragraphedeliste"/>
              <w:spacing w:after="0" w:line="240" w:lineRule="auto"/>
              <w:ind w:left="0"/>
              <w:rPr>
                <w:i/>
                <w:iCs/>
              </w:rPr>
            </w:pPr>
          </w:p>
        </w:tc>
        <w:tc>
          <w:tcPr>
            <w:tcW w:w="3969" w:type="dxa"/>
            <w:tcBorders>
              <w:top w:val="single" w:sz="4" w:space="0" w:color="auto"/>
              <w:left w:val="single" w:sz="4" w:space="0" w:color="auto"/>
              <w:bottom w:val="nil"/>
              <w:right w:val="single" w:sz="4" w:space="0" w:color="auto"/>
            </w:tcBorders>
            <w:vAlign w:val="center"/>
            <w:hideMark/>
          </w:tcPr>
          <w:p w14:paraId="6E323ADF" w14:textId="77777777" w:rsidR="00136335" w:rsidRPr="00C04123" w:rsidRDefault="00136335">
            <w:pPr>
              <w:pStyle w:val="Paragraphedeliste"/>
              <w:spacing w:after="0" w:line="240" w:lineRule="auto"/>
              <w:ind w:left="0"/>
              <w:jc w:val="center"/>
              <w:rPr>
                <w:i/>
                <w:iCs/>
              </w:rPr>
            </w:pPr>
            <w:r w:rsidRPr="00C04123">
              <w:rPr>
                <w:i/>
                <w:iCs/>
              </w:rPr>
              <w:t>31/12/N</w:t>
            </w:r>
          </w:p>
        </w:tc>
        <w:tc>
          <w:tcPr>
            <w:tcW w:w="1276" w:type="dxa"/>
            <w:tcBorders>
              <w:top w:val="nil"/>
              <w:left w:val="single" w:sz="4" w:space="0" w:color="auto"/>
              <w:bottom w:val="nil"/>
              <w:right w:val="single" w:sz="4" w:space="0" w:color="auto"/>
            </w:tcBorders>
          </w:tcPr>
          <w:p w14:paraId="18096311" w14:textId="77777777" w:rsidR="00136335" w:rsidRPr="00C04123" w:rsidRDefault="00136335">
            <w:pPr>
              <w:pStyle w:val="Paragraphedeliste"/>
              <w:spacing w:after="0" w:line="240" w:lineRule="auto"/>
              <w:ind w:left="0"/>
              <w:rPr>
                <w:i/>
                <w:iCs/>
              </w:rPr>
            </w:pPr>
          </w:p>
        </w:tc>
        <w:tc>
          <w:tcPr>
            <w:tcW w:w="1134" w:type="dxa"/>
            <w:tcBorders>
              <w:top w:val="nil"/>
              <w:left w:val="single" w:sz="4" w:space="0" w:color="auto"/>
              <w:bottom w:val="nil"/>
              <w:right w:val="single" w:sz="4" w:space="0" w:color="auto"/>
            </w:tcBorders>
          </w:tcPr>
          <w:p w14:paraId="3B2A45F0" w14:textId="77777777" w:rsidR="00136335" w:rsidRPr="00C04123" w:rsidRDefault="00136335">
            <w:pPr>
              <w:pStyle w:val="Paragraphedeliste"/>
              <w:spacing w:after="0" w:line="240" w:lineRule="auto"/>
              <w:ind w:left="0"/>
              <w:rPr>
                <w:i/>
                <w:iCs/>
              </w:rPr>
            </w:pPr>
          </w:p>
        </w:tc>
      </w:tr>
      <w:tr w:rsidR="00136335" w:rsidRPr="00C04123" w14:paraId="03E34177" w14:textId="77777777" w:rsidTr="00136335">
        <w:tc>
          <w:tcPr>
            <w:tcW w:w="992" w:type="dxa"/>
            <w:tcBorders>
              <w:top w:val="nil"/>
              <w:left w:val="single" w:sz="4" w:space="0" w:color="auto"/>
              <w:bottom w:val="nil"/>
              <w:right w:val="single" w:sz="4" w:space="0" w:color="auto"/>
            </w:tcBorders>
          </w:tcPr>
          <w:p w14:paraId="5E0822B0" w14:textId="77777777" w:rsidR="00136335" w:rsidRPr="00C04123" w:rsidRDefault="00136335">
            <w:pPr>
              <w:pStyle w:val="Paragraphedeliste"/>
              <w:spacing w:after="0" w:line="240" w:lineRule="auto"/>
              <w:ind w:left="0"/>
              <w:jc w:val="center"/>
              <w:rPr>
                <w:i/>
                <w:iCs/>
              </w:rPr>
            </w:pPr>
            <w:r w:rsidRPr="00C04123">
              <w:rPr>
                <w:i/>
                <w:iCs/>
              </w:rPr>
              <w:t>6811</w:t>
            </w:r>
          </w:p>
          <w:p w14:paraId="7927AE39" w14:textId="77777777" w:rsidR="00136335" w:rsidRPr="00C04123" w:rsidRDefault="00136335">
            <w:pPr>
              <w:pStyle w:val="Paragraphedeliste"/>
              <w:spacing w:after="0" w:line="240" w:lineRule="auto"/>
              <w:ind w:left="0"/>
              <w:jc w:val="center"/>
              <w:rPr>
                <w:i/>
                <w:iCs/>
              </w:rPr>
            </w:pPr>
          </w:p>
          <w:p w14:paraId="0253BD51" w14:textId="77777777" w:rsidR="00136335" w:rsidRPr="00C04123" w:rsidRDefault="00136335">
            <w:pPr>
              <w:pStyle w:val="Paragraphedeliste"/>
              <w:spacing w:after="0" w:line="240" w:lineRule="auto"/>
              <w:ind w:left="0"/>
              <w:jc w:val="center"/>
              <w:rPr>
                <w:i/>
                <w:iCs/>
              </w:rPr>
            </w:pPr>
            <w:r w:rsidRPr="00C04123">
              <w:rPr>
                <w:i/>
                <w:iCs/>
              </w:rPr>
              <w:t>281</w:t>
            </w:r>
          </w:p>
        </w:tc>
        <w:tc>
          <w:tcPr>
            <w:tcW w:w="3969" w:type="dxa"/>
            <w:tcBorders>
              <w:top w:val="nil"/>
              <w:left w:val="single" w:sz="4" w:space="0" w:color="auto"/>
              <w:bottom w:val="nil"/>
              <w:right w:val="single" w:sz="4" w:space="0" w:color="auto"/>
            </w:tcBorders>
            <w:hideMark/>
          </w:tcPr>
          <w:p w14:paraId="61928299" w14:textId="77777777" w:rsidR="00136335" w:rsidRPr="00C04123" w:rsidRDefault="00136335">
            <w:pPr>
              <w:pStyle w:val="Paragraphedeliste"/>
              <w:spacing w:after="0" w:line="240" w:lineRule="auto"/>
              <w:ind w:left="0"/>
              <w:rPr>
                <w:i/>
                <w:iCs/>
              </w:rPr>
            </w:pPr>
            <w:r w:rsidRPr="00C04123">
              <w:rPr>
                <w:i/>
                <w:iCs/>
              </w:rPr>
              <w:t>Dotations aux amortissements des immobilisations</w:t>
            </w:r>
          </w:p>
          <w:p w14:paraId="4CA90DF0" w14:textId="77777777" w:rsidR="00136335" w:rsidRPr="00C04123" w:rsidRDefault="00136335">
            <w:pPr>
              <w:pStyle w:val="Paragraphedeliste"/>
              <w:spacing w:after="0" w:line="240" w:lineRule="auto"/>
              <w:ind w:left="0"/>
              <w:rPr>
                <w:i/>
                <w:iCs/>
              </w:rPr>
            </w:pPr>
            <w:r w:rsidRPr="00C04123">
              <w:rPr>
                <w:i/>
                <w:iCs/>
              </w:rPr>
              <w:t xml:space="preserve">        Amortissement des immobilisations</w:t>
            </w:r>
          </w:p>
        </w:tc>
        <w:tc>
          <w:tcPr>
            <w:tcW w:w="1276" w:type="dxa"/>
            <w:tcBorders>
              <w:top w:val="nil"/>
              <w:left w:val="single" w:sz="4" w:space="0" w:color="auto"/>
              <w:bottom w:val="nil"/>
              <w:right w:val="single" w:sz="4" w:space="0" w:color="auto"/>
            </w:tcBorders>
            <w:hideMark/>
          </w:tcPr>
          <w:p w14:paraId="0C887F51" w14:textId="77777777" w:rsidR="00136335" w:rsidRPr="00C04123" w:rsidRDefault="00136335">
            <w:pPr>
              <w:pStyle w:val="Paragraphedeliste"/>
              <w:spacing w:after="0" w:line="240" w:lineRule="auto"/>
              <w:ind w:left="0"/>
              <w:jc w:val="right"/>
              <w:rPr>
                <w:i/>
                <w:iCs/>
              </w:rPr>
            </w:pPr>
            <w:r w:rsidRPr="00C04123">
              <w:rPr>
                <w:i/>
                <w:iCs/>
              </w:rPr>
              <w:t>10 000,00</w:t>
            </w:r>
          </w:p>
        </w:tc>
        <w:tc>
          <w:tcPr>
            <w:tcW w:w="1134" w:type="dxa"/>
            <w:tcBorders>
              <w:top w:val="nil"/>
              <w:left w:val="single" w:sz="4" w:space="0" w:color="auto"/>
              <w:bottom w:val="nil"/>
              <w:right w:val="single" w:sz="4" w:space="0" w:color="auto"/>
            </w:tcBorders>
          </w:tcPr>
          <w:p w14:paraId="6B88F2B5" w14:textId="77777777" w:rsidR="00136335" w:rsidRPr="00C04123" w:rsidRDefault="00136335">
            <w:pPr>
              <w:pStyle w:val="Paragraphedeliste"/>
              <w:spacing w:after="0" w:line="240" w:lineRule="auto"/>
              <w:ind w:left="0"/>
              <w:jc w:val="right"/>
              <w:rPr>
                <w:i/>
                <w:iCs/>
              </w:rPr>
            </w:pPr>
          </w:p>
          <w:p w14:paraId="7FD3F100" w14:textId="77777777" w:rsidR="00136335" w:rsidRPr="00C04123" w:rsidRDefault="00136335">
            <w:pPr>
              <w:pStyle w:val="Paragraphedeliste"/>
              <w:spacing w:after="0" w:line="240" w:lineRule="auto"/>
              <w:ind w:left="0"/>
              <w:jc w:val="right"/>
              <w:rPr>
                <w:i/>
                <w:iCs/>
              </w:rPr>
            </w:pPr>
          </w:p>
          <w:p w14:paraId="00D198E5" w14:textId="77777777" w:rsidR="00136335" w:rsidRPr="00C04123" w:rsidRDefault="00136335">
            <w:pPr>
              <w:pStyle w:val="Paragraphedeliste"/>
              <w:spacing w:after="0" w:line="240" w:lineRule="auto"/>
              <w:ind w:left="0"/>
              <w:jc w:val="right"/>
              <w:rPr>
                <w:i/>
                <w:iCs/>
              </w:rPr>
            </w:pPr>
            <w:r w:rsidRPr="00C04123">
              <w:rPr>
                <w:i/>
                <w:iCs/>
              </w:rPr>
              <w:t>10 000,00</w:t>
            </w:r>
          </w:p>
        </w:tc>
      </w:tr>
      <w:tr w:rsidR="00136335" w:rsidRPr="00C04123" w14:paraId="0C96C088" w14:textId="77777777" w:rsidTr="00136335">
        <w:tc>
          <w:tcPr>
            <w:tcW w:w="992" w:type="dxa"/>
            <w:tcBorders>
              <w:top w:val="nil"/>
              <w:left w:val="single" w:sz="4" w:space="0" w:color="auto"/>
              <w:bottom w:val="nil"/>
              <w:right w:val="single" w:sz="4" w:space="0" w:color="auto"/>
            </w:tcBorders>
          </w:tcPr>
          <w:p w14:paraId="40533584" w14:textId="77777777" w:rsidR="00136335" w:rsidRPr="00C04123" w:rsidRDefault="00136335">
            <w:pPr>
              <w:pStyle w:val="Paragraphedeliste"/>
              <w:spacing w:after="0" w:line="240" w:lineRule="auto"/>
              <w:ind w:left="0"/>
              <w:rPr>
                <w:i/>
                <w:iCs/>
              </w:rPr>
            </w:pPr>
          </w:p>
        </w:tc>
        <w:tc>
          <w:tcPr>
            <w:tcW w:w="3969" w:type="dxa"/>
            <w:tcBorders>
              <w:top w:val="nil"/>
              <w:left w:val="single" w:sz="4" w:space="0" w:color="auto"/>
              <w:bottom w:val="single" w:sz="4" w:space="0" w:color="auto"/>
              <w:right w:val="single" w:sz="4" w:space="0" w:color="auto"/>
            </w:tcBorders>
            <w:vAlign w:val="center"/>
            <w:hideMark/>
          </w:tcPr>
          <w:p w14:paraId="5338F2A2" w14:textId="77777777" w:rsidR="00136335" w:rsidRPr="00C04123" w:rsidRDefault="00136335">
            <w:pPr>
              <w:pStyle w:val="Paragraphedeliste"/>
              <w:spacing w:after="0" w:line="240" w:lineRule="auto"/>
              <w:ind w:left="0"/>
              <w:jc w:val="center"/>
              <w:rPr>
                <w:i/>
                <w:iCs/>
              </w:rPr>
            </w:pPr>
            <w:r w:rsidRPr="00C04123">
              <w:rPr>
                <w:i/>
                <w:iCs/>
              </w:rPr>
              <w:t>(Dotation année N + 3)</w:t>
            </w:r>
          </w:p>
        </w:tc>
        <w:tc>
          <w:tcPr>
            <w:tcW w:w="1276" w:type="dxa"/>
            <w:tcBorders>
              <w:top w:val="nil"/>
              <w:left w:val="single" w:sz="4" w:space="0" w:color="auto"/>
              <w:bottom w:val="nil"/>
              <w:right w:val="single" w:sz="4" w:space="0" w:color="auto"/>
            </w:tcBorders>
          </w:tcPr>
          <w:p w14:paraId="4AC11E19" w14:textId="77777777" w:rsidR="00136335" w:rsidRPr="00C04123" w:rsidRDefault="00136335">
            <w:pPr>
              <w:pStyle w:val="Paragraphedeliste"/>
              <w:spacing w:after="0" w:line="240" w:lineRule="auto"/>
              <w:ind w:left="0"/>
              <w:rPr>
                <w:i/>
                <w:iCs/>
              </w:rPr>
            </w:pPr>
          </w:p>
        </w:tc>
        <w:tc>
          <w:tcPr>
            <w:tcW w:w="1134" w:type="dxa"/>
            <w:tcBorders>
              <w:top w:val="nil"/>
              <w:left w:val="single" w:sz="4" w:space="0" w:color="auto"/>
              <w:bottom w:val="nil"/>
              <w:right w:val="single" w:sz="4" w:space="0" w:color="auto"/>
            </w:tcBorders>
          </w:tcPr>
          <w:p w14:paraId="6DAC787A" w14:textId="77777777" w:rsidR="00136335" w:rsidRPr="00C04123" w:rsidRDefault="00136335">
            <w:pPr>
              <w:pStyle w:val="Paragraphedeliste"/>
              <w:spacing w:after="0" w:line="240" w:lineRule="auto"/>
              <w:ind w:left="0"/>
              <w:rPr>
                <w:i/>
                <w:iCs/>
              </w:rPr>
            </w:pPr>
          </w:p>
        </w:tc>
      </w:tr>
    </w:tbl>
    <w:p w14:paraId="0E64DD94" w14:textId="77777777" w:rsidR="00136335" w:rsidRDefault="00136335" w:rsidP="00136335">
      <w:pPr>
        <w:pStyle w:val="Paragraphedeliste"/>
        <w:spacing w:after="0" w:line="240" w:lineRule="auto"/>
        <w:ind w:left="1080"/>
      </w:pPr>
    </w:p>
    <w:p w14:paraId="4E9524C5" w14:textId="77777777" w:rsidR="00136335" w:rsidRDefault="00136335" w:rsidP="00C04123">
      <w:pPr>
        <w:pStyle w:val="Titre4"/>
      </w:pPr>
      <w:r>
        <w:t>La détermination de la valeur comptable nette et la sortie du patrimoine de l’immobilisation</w:t>
      </w:r>
    </w:p>
    <w:p w14:paraId="4AB087A3" w14:textId="77777777" w:rsidR="00136335" w:rsidRDefault="00136335" w:rsidP="00C04123">
      <w:r>
        <w:t>Le cumul de tous les amortissements pratiqués depuis la date d’acquisition permet de déduire la valeur nette comptable de l’immobilisation au moment de la cession.</w:t>
      </w:r>
    </w:p>
    <w:p w14:paraId="71504B88" w14:textId="5FB2D642" w:rsidR="00136335" w:rsidRPr="00C04123" w:rsidRDefault="00136335" w:rsidP="00C04123">
      <w:pPr>
        <w:rPr>
          <w:i/>
          <w:iCs/>
        </w:rPr>
      </w:pPr>
      <w:r w:rsidRPr="00C04123">
        <w:rPr>
          <w:i/>
          <w:iCs/>
        </w:rPr>
        <w:t>Dans notre exemple, au 01/01/N</w:t>
      </w:r>
      <w:r w:rsidR="00C04123">
        <w:rPr>
          <w:i/>
          <w:iCs/>
        </w:rPr>
        <w:t>+</w:t>
      </w:r>
      <w:r w:rsidRPr="00C04123">
        <w:rPr>
          <w:i/>
          <w:iCs/>
        </w:rPr>
        <w:t>3, le cumul des amortissements est de 55 500 € Avec la dotation complémentaire, le cumul des amortissements est de 65 500 €.</w:t>
      </w:r>
    </w:p>
    <w:p w14:paraId="306EA003" w14:textId="631E81B9" w:rsidR="00136335" w:rsidRPr="00C04123" w:rsidRDefault="00136335" w:rsidP="00C04123">
      <w:pPr>
        <w:rPr>
          <w:i/>
          <w:iCs/>
        </w:rPr>
      </w:pPr>
      <w:r w:rsidRPr="00C04123">
        <w:rPr>
          <w:i/>
          <w:iCs/>
        </w:rPr>
        <w:t>La valeur nette comptable de l’immobilisation est donc de 120 000 – 65 500 = 54 500 €</w:t>
      </w:r>
      <w:r w:rsidR="00C04123">
        <w:rPr>
          <w:i/>
          <w:iCs/>
        </w:rPr>
        <w:t>.</w:t>
      </w:r>
    </w:p>
    <w:p w14:paraId="1EFD5375" w14:textId="2463784A" w:rsidR="00136335" w:rsidRPr="00C04123" w:rsidRDefault="00C04123" w:rsidP="00C04123">
      <w:pPr>
        <w:rPr>
          <w:i/>
          <w:iCs/>
        </w:rPr>
      </w:pPr>
      <w:proofErr w:type="spellStart"/>
      <w:r>
        <w:rPr>
          <w:i/>
          <w:iCs/>
        </w:rPr>
        <w:lastRenderedPageBreak/>
        <w:t>O</w:t>
      </w:r>
      <w:r w:rsidR="00136335" w:rsidRPr="00C04123">
        <w:rPr>
          <w:i/>
          <w:iCs/>
        </w:rPr>
        <w:t>ou</w:t>
      </w:r>
      <w:proofErr w:type="spellEnd"/>
      <w:r w:rsidR="00136335" w:rsidRPr="00C04123">
        <w:rPr>
          <w:i/>
          <w:iCs/>
        </w:rPr>
        <w:t xml:space="preserve"> 64 500 – 10 000  = 54 500 €</w:t>
      </w:r>
    </w:p>
    <w:tbl>
      <w:tblPr>
        <w:tblStyle w:val="Grilledutableau"/>
        <w:tblW w:w="0" w:type="auto"/>
        <w:tblInd w:w="988" w:type="dxa"/>
        <w:tblLook w:val="04A0" w:firstRow="1" w:lastRow="0" w:firstColumn="1" w:lastColumn="0" w:noHBand="0" w:noVBand="1"/>
      </w:tblPr>
      <w:tblGrid>
        <w:gridCol w:w="992"/>
        <w:gridCol w:w="3969"/>
        <w:gridCol w:w="1276"/>
        <w:gridCol w:w="1275"/>
      </w:tblGrid>
      <w:tr w:rsidR="00136335" w:rsidRPr="00C04123" w14:paraId="6832230A" w14:textId="77777777" w:rsidTr="00136335">
        <w:tc>
          <w:tcPr>
            <w:tcW w:w="992" w:type="dxa"/>
            <w:tcBorders>
              <w:top w:val="nil"/>
              <w:left w:val="single" w:sz="4" w:space="0" w:color="auto"/>
              <w:bottom w:val="nil"/>
              <w:right w:val="single" w:sz="4" w:space="0" w:color="auto"/>
            </w:tcBorders>
          </w:tcPr>
          <w:p w14:paraId="7777641A" w14:textId="77777777" w:rsidR="00136335" w:rsidRPr="00C04123" w:rsidRDefault="00136335" w:rsidP="00C04123">
            <w:pPr>
              <w:rPr>
                <w:i/>
                <w:iCs/>
              </w:rPr>
            </w:pPr>
          </w:p>
        </w:tc>
        <w:tc>
          <w:tcPr>
            <w:tcW w:w="3969" w:type="dxa"/>
            <w:tcBorders>
              <w:top w:val="single" w:sz="4" w:space="0" w:color="auto"/>
              <w:left w:val="single" w:sz="4" w:space="0" w:color="auto"/>
              <w:bottom w:val="nil"/>
              <w:right w:val="single" w:sz="4" w:space="0" w:color="auto"/>
            </w:tcBorders>
            <w:vAlign w:val="center"/>
            <w:hideMark/>
          </w:tcPr>
          <w:p w14:paraId="3A4826EB" w14:textId="77777777" w:rsidR="00136335" w:rsidRPr="00C04123" w:rsidRDefault="00136335" w:rsidP="00C04123">
            <w:pPr>
              <w:jc w:val="center"/>
              <w:rPr>
                <w:i/>
                <w:iCs/>
              </w:rPr>
            </w:pPr>
            <w:r w:rsidRPr="00C04123">
              <w:rPr>
                <w:i/>
                <w:iCs/>
              </w:rPr>
              <w:t>31/12/N</w:t>
            </w:r>
          </w:p>
        </w:tc>
        <w:tc>
          <w:tcPr>
            <w:tcW w:w="1276" w:type="dxa"/>
            <w:tcBorders>
              <w:top w:val="nil"/>
              <w:left w:val="single" w:sz="4" w:space="0" w:color="auto"/>
              <w:bottom w:val="nil"/>
              <w:right w:val="single" w:sz="4" w:space="0" w:color="auto"/>
            </w:tcBorders>
          </w:tcPr>
          <w:p w14:paraId="7D09C761" w14:textId="77777777" w:rsidR="00136335" w:rsidRPr="00C04123" w:rsidRDefault="00136335" w:rsidP="00C04123">
            <w:pPr>
              <w:rPr>
                <w:i/>
                <w:iCs/>
              </w:rPr>
            </w:pPr>
          </w:p>
        </w:tc>
        <w:tc>
          <w:tcPr>
            <w:tcW w:w="1275" w:type="dxa"/>
            <w:tcBorders>
              <w:top w:val="nil"/>
              <w:left w:val="single" w:sz="4" w:space="0" w:color="auto"/>
              <w:bottom w:val="nil"/>
              <w:right w:val="single" w:sz="4" w:space="0" w:color="auto"/>
            </w:tcBorders>
          </w:tcPr>
          <w:p w14:paraId="7B32D569" w14:textId="77777777" w:rsidR="00136335" w:rsidRPr="00C04123" w:rsidRDefault="00136335" w:rsidP="00C04123">
            <w:pPr>
              <w:rPr>
                <w:i/>
                <w:iCs/>
              </w:rPr>
            </w:pPr>
          </w:p>
        </w:tc>
      </w:tr>
      <w:tr w:rsidR="00136335" w:rsidRPr="00C04123" w14:paraId="5EEC3B7F" w14:textId="77777777" w:rsidTr="00136335">
        <w:tc>
          <w:tcPr>
            <w:tcW w:w="992" w:type="dxa"/>
            <w:tcBorders>
              <w:top w:val="nil"/>
              <w:left w:val="single" w:sz="4" w:space="0" w:color="auto"/>
              <w:bottom w:val="nil"/>
              <w:right w:val="single" w:sz="4" w:space="0" w:color="auto"/>
            </w:tcBorders>
          </w:tcPr>
          <w:p w14:paraId="6677273F" w14:textId="77777777" w:rsidR="00136335" w:rsidRPr="00C04123" w:rsidRDefault="00136335" w:rsidP="00C04123">
            <w:pPr>
              <w:rPr>
                <w:i/>
                <w:iCs/>
              </w:rPr>
            </w:pPr>
            <w:r w:rsidRPr="00C04123">
              <w:rPr>
                <w:i/>
                <w:iCs/>
              </w:rPr>
              <w:t>2811</w:t>
            </w:r>
          </w:p>
          <w:p w14:paraId="04299C51" w14:textId="77777777" w:rsidR="00136335" w:rsidRPr="00C04123" w:rsidRDefault="00136335" w:rsidP="00C04123">
            <w:pPr>
              <w:rPr>
                <w:i/>
                <w:iCs/>
              </w:rPr>
            </w:pPr>
            <w:r w:rsidRPr="00C04123">
              <w:rPr>
                <w:i/>
                <w:iCs/>
              </w:rPr>
              <w:t>675</w:t>
            </w:r>
          </w:p>
          <w:p w14:paraId="4B5E8FA4" w14:textId="77777777" w:rsidR="00136335" w:rsidRPr="00C04123" w:rsidRDefault="00136335" w:rsidP="00C04123">
            <w:pPr>
              <w:rPr>
                <w:i/>
                <w:iCs/>
              </w:rPr>
            </w:pPr>
          </w:p>
          <w:p w14:paraId="05B9539C" w14:textId="77777777" w:rsidR="00136335" w:rsidRPr="00C04123" w:rsidRDefault="00136335" w:rsidP="00C04123">
            <w:pPr>
              <w:rPr>
                <w:i/>
                <w:iCs/>
              </w:rPr>
            </w:pPr>
            <w:r w:rsidRPr="00C04123">
              <w:rPr>
                <w:i/>
                <w:iCs/>
              </w:rPr>
              <w:t>21</w:t>
            </w:r>
          </w:p>
        </w:tc>
        <w:tc>
          <w:tcPr>
            <w:tcW w:w="3969" w:type="dxa"/>
            <w:tcBorders>
              <w:top w:val="nil"/>
              <w:left w:val="single" w:sz="4" w:space="0" w:color="auto"/>
              <w:bottom w:val="nil"/>
              <w:right w:val="single" w:sz="4" w:space="0" w:color="auto"/>
            </w:tcBorders>
            <w:hideMark/>
          </w:tcPr>
          <w:p w14:paraId="31C930A9" w14:textId="77777777" w:rsidR="00136335" w:rsidRPr="00C04123" w:rsidRDefault="00136335" w:rsidP="00C04123">
            <w:pPr>
              <w:rPr>
                <w:i/>
                <w:iCs/>
              </w:rPr>
            </w:pPr>
            <w:r w:rsidRPr="00C04123">
              <w:rPr>
                <w:i/>
                <w:iCs/>
              </w:rPr>
              <w:t>Amortissement des immobilisations</w:t>
            </w:r>
          </w:p>
          <w:p w14:paraId="0E5C8496" w14:textId="77777777" w:rsidR="00136335" w:rsidRPr="00C04123" w:rsidRDefault="00136335" w:rsidP="00C04123">
            <w:pPr>
              <w:rPr>
                <w:i/>
                <w:iCs/>
              </w:rPr>
            </w:pPr>
            <w:r w:rsidRPr="00C04123">
              <w:rPr>
                <w:i/>
                <w:iCs/>
              </w:rPr>
              <w:t>Valeur nette comptable des éléments d’actif cédés</w:t>
            </w:r>
          </w:p>
          <w:p w14:paraId="0E572305" w14:textId="77777777" w:rsidR="00136335" w:rsidRPr="00C04123" w:rsidRDefault="00136335" w:rsidP="00C04123">
            <w:pPr>
              <w:rPr>
                <w:i/>
                <w:iCs/>
              </w:rPr>
            </w:pPr>
            <w:r w:rsidRPr="00C04123">
              <w:rPr>
                <w:i/>
                <w:iCs/>
              </w:rPr>
              <w:t xml:space="preserve">        Immobilisations</w:t>
            </w:r>
          </w:p>
        </w:tc>
        <w:tc>
          <w:tcPr>
            <w:tcW w:w="1276" w:type="dxa"/>
            <w:tcBorders>
              <w:top w:val="nil"/>
              <w:left w:val="single" w:sz="4" w:space="0" w:color="auto"/>
              <w:bottom w:val="nil"/>
              <w:right w:val="single" w:sz="4" w:space="0" w:color="auto"/>
            </w:tcBorders>
            <w:hideMark/>
          </w:tcPr>
          <w:p w14:paraId="3FE736F5" w14:textId="77777777" w:rsidR="00136335" w:rsidRPr="00C04123" w:rsidRDefault="00136335" w:rsidP="00C04123">
            <w:pPr>
              <w:rPr>
                <w:i/>
                <w:iCs/>
              </w:rPr>
            </w:pPr>
            <w:r w:rsidRPr="00C04123">
              <w:rPr>
                <w:i/>
                <w:iCs/>
              </w:rPr>
              <w:t>65 500,00</w:t>
            </w:r>
          </w:p>
          <w:p w14:paraId="24341B10" w14:textId="77777777" w:rsidR="00136335" w:rsidRPr="00C04123" w:rsidRDefault="00136335" w:rsidP="00C04123">
            <w:pPr>
              <w:rPr>
                <w:i/>
                <w:iCs/>
              </w:rPr>
            </w:pPr>
            <w:r w:rsidRPr="00C04123">
              <w:rPr>
                <w:i/>
                <w:iCs/>
              </w:rPr>
              <w:t>54 500,00</w:t>
            </w:r>
          </w:p>
        </w:tc>
        <w:tc>
          <w:tcPr>
            <w:tcW w:w="1275" w:type="dxa"/>
            <w:tcBorders>
              <w:top w:val="nil"/>
              <w:left w:val="single" w:sz="4" w:space="0" w:color="auto"/>
              <w:bottom w:val="nil"/>
              <w:right w:val="single" w:sz="4" w:space="0" w:color="auto"/>
            </w:tcBorders>
          </w:tcPr>
          <w:p w14:paraId="7DFF0847" w14:textId="77777777" w:rsidR="00136335" w:rsidRPr="00C04123" w:rsidRDefault="00136335" w:rsidP="00C04123">
            <w:pPr>
              <w:rPr>
                <w:i/>
                <w:iCs/>
              </w:rPr>
            </w:pPr>
          </w:p>
          <w:p w14:paraId="3BED9955" w14:textId="77777777" w:rsidR="00136335" w:rsidRPr="00C04123" w:rsidRDefault="00136335" w:rsidP="00C04123">
            <w:pPr>
              <w:rPr>
                <w:i/>
                <w:iCs/>
              </w:rPr>
            </w:pPr>
          </w:p>
          <w:p w14:paraId="2520305E" w14:textId="77777777" w:rsidR="00136335" w:rsidRPr="00C04123" w:rsidRDefault="00136335" w:rsidP="00C04123">
            <w:pPr>
              <w:rPr>
                <w:i/>
                <w:iCs/>
              </w:rPr>
            </w:pPr>
            <w:r w:rsidRPr="00C04123">
              <w:rPr>
                <w:i/>
                <w:iCs/>
              </w:rPr>
              <w:t>120 000,00</w:t>
            </w:r>
          </w:p>
        </w:tc>
      </w:tr>
      <w:tr w:rsidR="00136335" w:rsidRPr="00C04123" w14:paraId="151B56CB" w14:textId="77777777" w:rsidTr="00136335">
        <w:tc>
          <w:tcPr>
            <w:tcW w:w="992" w:type="dxa"/>
            <w:tcBorders>
              <w:top w:val="nil"/>
              <w:left w:val="single" w:sz="4" w:space="0" w:color="auto"/>
              <w:bottom w:val="nil"/>
              <w:right w:val="single" w:sz="4" w:space="0" w:color="auto"/>
            </w:tcBorders>
          </w:tcPr>
          <w:p w14:paraId="27B35D91" w14:textId="77777777" w:rsidR="00136335" w:rsidRPr="00C04123" w:rsidRDefault="00136335" w:rsidP="00C04123">
            <w:pPr>
              <w:rPr>
                <w:i/>
                <w:iCs/>
              </w:rPr>
            </w:pPr>
          </w:p>
        </w:tc>
        <w:tc>
          <w:tcPr>
            <w:tcW w:w="3969" w:type="dxa"/>
            <w:tcBorders>
              <w:top w:val="nil"/>
              <w:left w:val="single" w:sz="4" w:space="0" w:color="auto"/>
              <w:bottom w:val="single" w:sz="4" w:space="0" w:color="auto"/>
              <w:right w:val="single" w:sz="4" w:space="0" w:color="auto"/>
            </w:tcBorders>
            <w:vAlign w:val="center"/>
            <w:hideMark/>
          </w:tcPr>
          <w:p w14:paraId="271942C4" w14:textId="77777777" w:rsidR="00136335" w:rsidRPr="00C04123" w:rsidRDefault="00136335" w:rsidP="00C04123">
            <w:pPr>
              <w:rPr>
                <w:i/>
                <w:iCs/>
              </w:rPr>
            </w:pPr>
            <w:r w:rsidRPr="00C04123">
              <w:rPr>
                <w:i/>
                <w:iCs/>
              </w:rPr>
              <w:t>(Régularisation cession )</w:t>
            </w:r>
          </w:p>
        </w:tc>
        <w:tc>
          <w:tcPr>
            <w:tcW w:w="1276" w:type="dxa"/>
            <w:tcBorders>
              <w:top w:val="nil"/>
              <w:left w:val="single" w:sz="4" w:space="0" w:color="auto"/>
              <w:bottom w:val="nil"/>
              <w:right w:val="single" w:sz="4" w:space="0" w:color="auto"/>
            </w:tcBorders>
          </w:tcPr>
          <w:p w14:paraId="0F2330CC" w14:textId="77777777" w:rsidR="00136335" w:rsidRPr="00C04123" w:rsidRDefault="00136335" w:rsidP="00C04123">
            <w:pPr>
              <w:rPr>
                <w:i/>
                <w:iCs/>
              </w:rPr>
            </w:pPr>
          </w:p>
        </w:tc>
        <w:tc>
          <w:tcPr>
            <w:tcW w:w="1275" w:type="dxa"/>
            <w:tcBorders>
              <w:top w:val="nil"/>
              <w:left w:val="single" w:sz="4" w:space="0" w:color="auto"/>
              <w:bottom w:val="nil"/>
              <w:right w:val="single" w:sz="4" w:space="0" w:color="auto"/>
            </w:tcBorders>
          </w:tcPr>
          <w:p w14:paraId="5413C28C" w14:textId="77777777" w:rsidR="00136335" w:rsidRPr="00C04123" w:rsidRDefault="00136335" w:rsidP="00C04123">
            <w:pPr>
              <w:rPr>
                <w:i/>
                <w:iCs/>
              </w:rPr>
            </w:pPr>
          </w:p>
        </w:tc>
      </w:tr>
    </w:tbl>
    <w:p w14:paraId="787D3F1B" w14:textId="6AD2845B" w:rsidR="00F35C1F" w:rsidRPr="00C04123" w:rsidRDefault="00136335" w:rsidP="00C04123">
      <w:pPr>
        <w:rPr>
          <w:rFonts w:cstheme="minorBidi"/>
          <w:i/>
          <w:iCs/>
        </w:rPr>
      </w:pPr>
      <w:r w:rsidRPr="00C04123">
        <w:rPr>
          <w:i/>
          <w:iCs/>
        </w:rPr>
        <w:t>Avec cette écriture, les comptes de la classe 2 sont corrigés, la machine-outil ne figure plus au bilan et le compte d’amortissement qui lui est lié est « vidé » ; ce qui correspond effectivement à la réalité.</w:t>
      </w:r>
    </w:p>
    <w:sectPr w:rsidR="00F35C1F" w:rsidRPr="00C041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9A10" w14:textId="77777777" w:rsidR="00CB2DB8" w:rsidRDefault="00CB2DB8" w:rsidP="00A715E6">
      <w:r>
        <w:separator/>
      </w:r>
    </w:p>
  </w:endnote>
  <w:endnote w:type="continuationSeparator" w:id="0">
    <w:p w14:paraId="4EB0F82A" w14:textId="77777777" w:rsidR="00CB2DB8" w:rsidRDefault="00CB2DB8"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5FEF" w14:textId="77777777" w:rsidR="00CB2DB8" w:rsidRDefault="00CB2DB8" w:rsidP="00A715E6">
      <w:r>
        <w:separator/>
      </w:r>
    </w:p>
  </w:footnote>
  <w:footnote w:type="continuationSeparator" w:id="0">
    <w:p w14:paraId="6B2906D4" w14:textId="77777777" w:rsidR="00CB2DB8" w:rsidRDefault="00CB2DB8"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1"/>
  </w:num>
  <w:num w:numId="6">
    <w:abstractNumId w:val="10"/>
  </w:num>
  <w:num w:numId="7">
    <w:abstractNumId w:val="14"/>
  </w:num>
  <w:num w:numId="8">
    <w:abstractNumId w:val="6"/>
  </w:num>
  <w:num w:numId="9">
    <w:abstractNumId w:val="4"/>
  </w:num>
  <w:num w:numId="10">
    <w:abstractNumId w:val="2"/>
  </w:num>
  <w:num w:numId="11">
    <w:abstractNumId w:val="13"/>
  </w:num>
  <w:num w:numId="12">
    <w:abstractNumId w:val="5"/>
  </w:num>
  <w:num w:numId="13">
    <w:abstractNumId w:val="11"/>
  </w:num>
  <w:num w:numId="14">
    <w:abstractNumId w:val="8"/>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36335"/>
    <w:rsid w:val="001573AC"/>
    <w:rsid w:val="001B5DE2"/>
    <w:rsid w:val="00206267"/>
    <w:rsid w:val="003521D7"/>
    <w:rsid w:val="003A6F4D"/>
    <w:rsid w:val="003B7549"/>
    <w:rsid w:val="00471A56"/>
    <w:rsid w:val="00525C0E"/>
    <w:rsid w:val="00553262"/>
    <w:rsid w:val="00681F78"/>
    <w:rsid w:val="006A20A6"/>
    <w:rsid w:val="006C3752"/>
    <w:rsid w:val="006F664C"/>
    <w:rsid w:val="008D3203"/>
    <w:rsid w:val="00986690"/>
    <w:rsid w:val="009A5D11"/>
    <w:rsid w:val="00A715E6"/>
    <w:rsid w:val="00B94FF6"/>
    <w:rsid w:val="00BF7364"/>
    <w:rsid w:val="00C04123"/>
    <w:rsid w:val="00C511AB"/>
    <w:rsid w:val="00CA5B74"/>
    <w:rsid w:val="00CB2DB8"/>
    <w:rsid w:val="00CB7E6C"/>
    <w:rsid w:val="00E31277"/>
    <w:rsid w:val="00E72EB7"/>
    <w:rsid w:val="00F10F58"/>
    <w:rsid w:val="00F35C1F"/>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5554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4</cp:revision>
  <dcterms:created xsi:type="dcterms:W3CDTF">2020-03-27T14:16:00Z</dcterms:created>
  <dcterms:modified xsi:type="dcterms:W3CDTF">2020-03-27T14:35:00Z</dcterms:modified>
</cp:coreProperties>
</file>