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81AD" w14:textId="6DA4F75D" w:rsidR="00136335" w:rsidRDefault="00B77771" w:rsidP="00136335">
      <w:pPr>
        <w:rPr>
          <w:rFonts w:cstheme="minorBidi"/>
          <w:b/>
        </w:rPr>
      </w:pPr>
      <w:r>
        <w:rPr>
          <w:noProof/>
          <w:lang w:eastAsia="fr-FR"/>
        </w:rPr>
        <w:pict w14:anchorId="2FFB9C6D">
          <v:group id="_x0000_s1035" style="position:absolute;left:0;text-align:left;margin-left:0;margin-top:0;width:453.6pt;height:84.65pt;z-index:251666432;mso-position-horizontal:center;mso-position-horizontal-relative:margin;mso-position-vertical:top;mso-position-vertical-relative:margin" coordorigin="1417,1417" coordsize="9072,1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44;top:1417;width:5645;height:1693;mso-position-horizontal:right;mso-position-horizontal-relative:margin;mso-position-vertical:top;mso-position-vertical-relative:margin">
              <v:imagedata r:id="rId7" o:title="gestion-finance"/>
            </v:shape>
            <v:group id="_x0000_s1034" style="position:absolute;left:1417;top:1574;width:3076;height:1379" coordorigin="1417,1424" coordsize="3076,1379">
              <v:shape id="_x0000_s1032" type="#_x0000_t75" style="position:absolute;left:1417;top:1424;width:3076;height:852;mso-position-horizontal:left;mso-position-horizontal-relative:margin;mso-position-vertical:top;mso-position-vertical-relative:margin">
                <v:imagedata r:id="rId8" o:title="essentiel"/>
              </v:shape>
              <v:shape id="_x0000_s1033" type="#_x0000_t75" style="position:absolute;left:2025;top:2236;width:1859;height:567;mso-position-horizontal-relative:text;mso-position-vertical-relative:text;mso-width-relative:page;mso-height-relative:page">
                <v:imagedata r:id="rId9" o:title="tle"/>
              </v:shape>
            </v:group>
            <w10:wrap type="square" anchorx="margin" anchory="margin"/>
          </v:group>
        </w:pict>
      </w:r>
    </w:p>
    <w:p w14:paraId="17B0DA78" w14:textId="3EB2F318" w:rsidR="005D1398" w:rsidRPr="00D83376" w:rsidRDefault="005D1398" w:rsidP="005D1398">
      <w:pPr>
        <w:pStyle w:val="Titre1"/>
        <w:jc w:val="left"/>
        <w:rPr>
          <w:rFonts w:ascii="Liberation Serif" w:eastAsia="Liberation Serif" w:hAnsi="Liberation Serif" w:cs="Liberation Serif"/>
          <w:lang w:eastAsia="fr-FR"/>
        </w:rPr>
      </w:pPr>
      <w:r w:rsidRPr="00D83376">
        <w:rPr>
          <w:lang w:eastAsia="fr-FR"/>
        </w:rPr>
        <w:t>Chapitre 9</w:t>
      </w:r>
      <w:r>
        <w:rPr>
          <w:lang w:eastAsia="fr-FR"/>
        </w:rPr>
        <w:t xml:space="preserve"> : </w:t>
      </w:r>
      <w:r w:rsidRPr="00D83376">
        <w:rPr>
          <w:lang w:eastAsia="fr-FR"/>
        </w:rPr>
        <w:t>Les processus de clôture et d</w:t>
      </w:r>
      <w:r w:rsidR="00102E1C">
        <w:rPr>
          <w:lang w:eastAsia="fr-FR"/>
        </w:rPr>
        <w:t>’</w:t>
      </w:r>
      <w:r w:rsidRPr="00D83376">
        <w:rPr>
          <w:lang w:eastAsia="fr-FR"/>
        </w:rPr>
        <w:t>ouverture d</w:t>
      </w:r>
      <w:r w:rsidR="00102E1C">
        <w:rPr>
          <w:lang w:eastAsia="fr-FR"/>
        </w:rPr>
        <w:t>’</w:t>
      </w:r>
      <w:r w:rsidRPr="00D83376">
        <w:rPr>
          <w:lang w:eastAsia="fr-FR"/>
        </w:rPr>
        <w:t xml:space="preserve">un </w:t>
      </w:r>
      <w:sdt>
        <w:sdtPr>
          <w:rPr>
            <w:rFonts w:ascii="Liberation Serif" w:eastAsia="Liberation Serif" w:hAnsi="Liberation Serif" w:cs="Liberation Serif"/>
            <w:lang w:eastAsia="fr-FR"/>
          </w:rPr>
          <w:tag w:val="goog_rdk_0"/>
          <w:id w:val="865799551"/>
        </w:sdtPr>
        <w:sdtContent/>
      </w:sdt>
      <w:r w:rsidRPr="00D83376">
        <w:rPr>
          <w:lang w:eastAsia="fr-FR"/>
        </w:rPr>
        <w:t>exercice</w:t>
      </w:r>
    </w:p>
    <w:p w14:paraId="76B9E4D0" w14:textId="6965ABB0" w:rsidR="005D1398" w:rsidRPr="00A2297C" w:rsidRDefault="005D1398" w:rsidP="005D1398">
      <w:pPr>
        <w:rPr>
          <w:lang w:eastAsia="fr-FR"/>
        </w:rPr>
      </w:pPr>
      <w:r>
        <w:rPr>
          <w:lang w:eastAsia="fr-FR"/>
        </w:rPr>
        <w:t>À</w:t>
      </w:r>
      <w:r w:rsidRPr="00A2297C">
        <w:rPr>
          <w:lang w:eastAsia="fr-FR"/>
        </w:rPr>
        <w:t xml:space="preserve"> la fin de chaque exercice comptable, l</w:t>
      </w:r>
      <w:r w:rsidR="00102E1C">
        <w:rPr>
          <w:lang w:eastAsia="fr-FR"/>
        </w:rPr>
        <w:t>’</w:t>
      </w:r>
      <w:r w:rsidRPr="00A2297C">
        <w:rPr>
          <w:lang w:eastAsia="fr-FR"/>
        </w:rPr>
        <w:t>entreprise doit produire les états comptables obligatoires et pour cela doit procéder à la clôture de ses comptes et à leur réouverture au début de l</w:t>
      </w:r>
      <w:r w:rsidR="00102E1C">
        <w:rPr>
          <w:lang w:eastAsia="fr-FR"/>
        </w:rPr>
        <w:t>’</w:t>
      </w:r>
      <w:r w:rsidRPr="00A2297C">
        <w:rPr>
          <w:lang w:eastAsia="fr-FR"/>
        </w:rPr>
        <w:t xml:space="preserve">exercice suivant </w:t>
      </w:r>
    </w:p>
    <w:p w14:paraId="548BFABE" w14:textId="30AA93B0" w:rsidR="005D1398" w:rsidRPr="00BA44B2" w:rsidRDefault="005D1398" w:rsidP="005D1398">
      <w:pPr>
        <w:pStyle w:val="Titre2"/>
        <w:rPr>
          <w:lang w:eastAsia="fr-FR"/>
        </w:rPr>
      </w:pPr>
      <w:r w:rsidRPr="00BA44B2">
        <w:rPr>
          <w:lang w:eastAsia="fr-FR"/>
        </w:rPr>
        <w:t>Le processus de clôture de l</w:t>
      </w:r>
      <w:r w:rsidR="00102E1C">
        <w:rPr>
          <w:lang w:eastAsia="fr-FR"/>
        </w:rPr>
        <w:t>’</w:t>
      </w:r>
      <w:r w:rsidRPr="00BA44B2">
        <w:rPr>
          <w:lang w:eastAsia="fr-FR"/>
        </w:rPr>
        <w:t>exercice</w:t>
      </w:r>
    </w:p>
    <w:p w14:paraId="5E625B17" w14:textId="1D013C35" w:rsidR="005D1398" w:rsidRDefault="005D1398" w:rsidP="005D1398">
      <w:pPr>
        <w:rPr>
          <w:lang w:eastAsia="fr-FR"/>
        </w:rPr>
      </w:pPr>
      <w:r>
        <w:rPr>
          <w:lang w:eastAsia="fr-FR"/>
        </w:rPr>
        <w:t>Les logiciels de comptabilité réalisent automatiquement les opérations de clôture et de réouverture des comptes ainsi que l</w:t>
      </w:r>
      <w:r w:rsidR="00102E1C">
        <w:rPr>
          <w:lang w:eastAsia="fr-FR"/>
        </w:rPr>
        <w:t>’</w:t>
      </w:r>
      <w:r>
        <w:rPr>
          <w:lang w:eastAsia="fr-FR"/>
        </w:rPr>
        <w:t>édition des différents documents de synthèse.</w:t>
      </w:r>
    </w:p>
    <w:p w14:paraId="7E4D5CD7" w14:textId="7863A3A6" w:rsidR="005D1398" w:rsidRPr="00A2297C" w:rsidRDefault="005D1398" w:rsidP="005D1398">
      <w:pPr>
        <w:rPr>
          <w:lang w:eastAsia="fr-FR"/>
        </w:rPr>
      </w:pPr>
      <w:r>
        <w:rPr>
          <w:lang w:eastAsia="fr-FR"/>
        </w:rPr>
        <w:t>On distingue trois étapes</w:t>
      </w:r>
      <w:r w:rsidRPr="00A2297C">
        <w:rPr>
          <w:lang w:eastAsia="fr-FR"/>
        </w:rPr>
        <w:t xml:space="preserve"> </w:t>
      </w:r>
      <w:r>
        <w:rPr>
          <w:lang w:eastAsia="fr-FR"/>
        </w:rPr>
        <w:t>l</w:t>
      </w:r>
      <w:r w:rsidRPr="00A2297C">
        <w:rPr>
          <w:lang w:eastAsia="fr-FR"/>
        </w:rPr>
        <w:t xml:space="preserve">ors de la </w:t>
      </w:r>
      <w:r>
        <w:rPr>
          <w:lang w:eastAsia="fr-FR"/>
        </w:rPr>
        <w:t>clôture de l</w:t>
      </w:r>
      <w:r w:rsidR="00102E1C">
        <w:rPr>
          <w:lang w:eastAsia="fr-FR"/>
        </w:rPr>
        <w:t>’</w:t>
      </w:r>
      <w:r>
        <w:rPr>
          <w:lang w:eastAsia="fr-FR"/>
        </w:rPr>
        <w:t>exercice comptable</w:t>
      </w:r>
      <w:r>
        <w:rPr>
          <w:lang w:eastAsia="fr-FR"/>
        </w:rPr>
        <w:t>.</w:t>
      </w:r>
    </w:p>
    <w:p w14:paraId="1B402ABB" w14:textId="4A6C9FB2" w:rsidR="005D1398" w:rsidRPr="005D1398" w:rsidRDefault="005D1398" w:rsidP="005D1398">
      <w:r w:rsidRPr="00554ABE">
        <w:rPr>
          <w:rFonts w:eastAsia="Times New Roman"/>
          <w:b/>
          <w:lang w:eastAsia="fr-FR"/>
        </w:rPr>
        <w:t>La 1</w:t>
      </w:r>
      <w:r w:rsidRPr="00554ABE">
        <w:rPr>
          <w:rFonts w:eastAsia="Times New Roman"/>
          <w:b/>
          <w:vertAlign w:val="superscript"/>
          <w:lang w:eastAsia="fr-FR"/>
        </w:rPr>
        <w:t>re</w:t>
      </w:r>
      <w:r w:rsidRPr="00554ABE">
        <w:rPr>
          <w:rFonts w:eastAsia="Times New Roman"/>
          <w:b/>
          <w:lang w:eastAsia="fr-FR"/>
        </w:rPr>
        <w:t xml:space="preserve"> étape</w:t>
      </w:r>
      <w:r w:rsidRPr="00A2297C">
        <w:rPr>
          <w:rFonts w:eastAsia="Times New Roman"/>
          <w:lang w:eastAsia="fr-FR"/>
        </w:rPr>
        <w:t xml:space="preserve"> consiste </w:t>
      </w:r>
      <w:r w:rsidRPr="005D1398">
        <w:rPr>
          <w:rFonts w:eastAsia="Times New Roman"/>
          <w:lang w:eastAsia="fr-FR"/>
        </w:rPr>
        <w:t>à</w:t>
      </w:r>
      <w:r w:rsidRPr="005D1398">
        <w:rPr>
          <w:shd w:val="clear" w:color="auto" w:fill="F6F6F6"/>
        </w:rPr>
        <w:t xml:space="preserve"> </w:t>
      </w:r>
      <w:r w:rsidRPr="005D1398">
        <w:t>solder les comptes de charges et de produits (classes 6 et 7) à la clôture de chaque exercice comptable grâce à une écriture comptable de virement sur le compte de résultat.</w:t>
      </w:r>
      <w:r>
        <w:t xml:space="preserve"> IL s</w:t>
      </w:r>
      <w:r w:rsidR="00102E1C">
        <w:t>’</w:t>
      </w:r>
      <w:r>
        <w:t>agit de</w:t>
      </w:r>
      <w:r w:rsidRPr="005D1398">
        <w:t xml:space="preserve"> créditer les comptes de charges et à débiter les comptes de produits pour le montant de leur solde respectif soit par : </w:t>
      </w:r>
    </w:p>
    <w:p w14:paraId="07B3F81E" w14:textId="19BDB802" w:rsidR="005D1398" w:rsidRPr="005D1398" w:rsidRDefault="005D1398" w:rsidP="005D1398">
      <w:pPr>
        <w:pStyle w:val="Paragraphedeliste"/>
        <w:numPr>
          <w:ilvl w:val="0"/>
          <w:numId w:val="25"/>
        </w:numPr>
      </w:pPr>
      <w:r w:rsidRPr="005D1398">
        <w:t>le crédit du compte 120 Résultat de l</w:t>
      </w:r>
      <w:r w:rsidR="00102E1C">
        <w:t>’</w:t>
      </w:r>
      <w:r w:rsidRPr="005D1398">
        <w:t>exercice (bénéfice) si les produits sont supérieurs aux charges</w:t>
      </w:r>
      <w:r>
        <w:t> ;</w:t>
      </w:r>
    </w:p>
    <w:p w14:paraId="1E424282" w14:textId="7004C1BC" w:rsidR="005D1398" w:rsidRPr="005D1398" w:rsidRDefault="005D1398" w:rsidP="005D1398">
      <w:pPr>
        <w:pStyle w:val="Paragraphedeliste"/>
        <w:numPr>
          <w:ilvl w:val="0"/>
          <w:numId w:val="25"/>
        </w:numPr>
      </w:pPr>
      <w:r w:rsidRPr="005D1398">
        <w:t>le débit du compte 129 Résultat de l</w:t>
      </w:r>
      <w:r w:rsidR="00102E1C">
        <w:t>’</w:t>
      </w:r>
      <w:r w:rsidRPr="005D1398">
        <w:t>exercice (</w:t>
      </w:r>
      <w:r>
        <w:t>p</w:t>
      </w:r>
      <w:r w:rsidRPr="005D1398">
        <w:t xml:space="preserve">erte) si les charges sont supérieures aux produits. </w:t>
      </w:r>
    </w:p>
    <w:p w14:paraId="6EFE4420" w14:textId="77777777" w:rsidR="005D1398" w:rsidRPr="005D1398" w:rsidRDefault="005D1398" w:rsidP="005D1398">
      <w:r w:rsidRPr="005D1398">
        <w:t xml:space="preserve">Le compte de résultat peut alors être établi par report des comptes de produits et de charges. </w:t>
      </w:r>
    </w:p>
    <w:p w14:paraId="2B8863BB" w14:textId="4BCC69CF" w:rsidR="005D1398" w:rsidRPr="00554ABE" w:rsidRDefault="005D1398" w:rsidP="005D1398">
      <w:pPr>
        <w:rPr>
          <w:rFonts w:eastAsia="Times New Roman"/>
          <w:b/>
          <w:lang w:eastAsia="fr-FR"/>
        </w:rPr>
      </w:pPr>
      <w:r w:rsidRPr="00554ABE">
        <w:rPr>
          <w:rFonts w:eastAsia="Times New Roman"/>
          <w:b/>
          <w:lang w:eastAsia="fr-FR"/>
        </w:rPr>
        <w:t>La 2</w:t>
      </w:r>
      <w:r w:rsidRPr="00554ABE">
        <w:rPr>
          <w:rFonts w:eastAsia="Times New Roman"/>
          <w:b/>
          <w:vertAlign w:val="superscript"/>
          <w:lang w:eastAsia="fr-FR"/>
        </w:rPr>
        <w:t>e</w:t>
      </w:r>
      <w:r w:rsidRPr="00554ABE">
        <w:rPr>
          <w:rFonts w:eastAsia="Times New Roman"/>
          <w:b/>
          <w:lang w:eastAsia="fr-FR"/>
        </w:rPr>
        <w:t xml:space="preserve"> étape</w:t>
      </w:r>
      <w:r w:rsidRPr="00A2297C">
        <w:rPr>
          <w:rFonts w:eastAsia="Times New Roman"/>
          <w:lang w:eastAsia="fr-FR"/>
        </w:rPr>
        <w:t xml:space="preserve"> consiste </w:t>
      </w:r>
      <w:r w:rsidRPr="005D1398">
        <w:rPr>
          <w:rFonts w:eastAsia="Times New Roman"/>
          <w:b/>
          <w:bCs/>
          <w:lang w:eastAsia="fr-FR"/>
        </w:rPr>
        <w:t>à calculer le solde définitif des comptes de classe 1 à 5 et à réaliser la balance de clôture.</w:t>
      </w:r>
      <w:r w:rsidRPr="00554ABE">
        <w:rPr>
          <w:rFonts w:eastAsia="Times New Roman"/>
          <w:b/>
          <w:lang w:eastAsia="fr-FR"/>
        </w:rPr>
        <w:t xml:space="preserve"> </w:t>
      </w:r>
    </w:p>
    <w:p w14:paraId="2A66CA30" w14:textId="262E0958" w:rsidR="005D1398" w:rsidRPr="00A2297C" w:rsidRDefault="005D1398" w:rsidP="005D1398">
      <w:pPr>
        <w:rPr>
          <w:rFonts w:eastAsia="Times New Roman"/>
          <w:lang w:eastAsia="fr-FR"/>
        </w:rPr>
      </w:pPr>
      <w:r w:rsidRPr="00A2297C">
        <w:rPr>
          <w:rFonts w:eastAsia="Times New Roman"/>
          <w:lang w:eastAsia="fr-FR"/>
        </w:rPr>
        <w:t>Après l</w:t>
      </w:r>
      <w:r w:rsidR="00102E1C">
        <w:rPr>
          <w:rFonts w:eastAsia="Times New Roman"/>
          <w:lang w:eastAsia="fr-FR"/>
        </w:rPr>
        <w:t>’</w:t>
      </w:r>
      <w:r w:rsidRPr="00A2297C">
        <w:rPr>
          <w:rFonts w:eastAsia="Times New Roman"/>
          <w:lang w:eastAsia="fr-FR"/>
        </w:rPr>
        <w:t>écriture de soldes des comptes de gestion</w:t>
      </w:r>
      <w:r>
        <w:rPr>
          <w:rFonts w:eastAsia="Times New Roman"/>
          <w:lang w:eastAsia="fr-FR"/>
        </w:rPr>
        <w:t xml:space="preserve"> (1</w:t>
      </w:r>
      <w:r w:rsidRPr="00554ABE">
        <w:rPr>
          <w:rFonts w:eastAsia="Times New Roman"/>
          <w:vertAlign w:val="superscript"/>
          <w:lang w:eastAsia="fr-FR"/>
        </w:rPr>
        <w:t>re</w:t>
      </w:r>
      <w:r>
        <w:rPr>
          <w:rFonts w:eastAsia="Times New Roman"/>
          <w:lang w:eastAsia="fr-FR"/>
        </w:rPr>
        <w:t xml:space="preserve"> étape)</w:t>
      </w:r>
      <w:r w:rsidRPr="00A2297C">
        <w:rPr>
          <w:rFonts w:eastAsia="Times New Roman"/>
          <w:lang w:eastAsia="fr-FR"/>
        </w:rPr>
        <w:t>, ces derniers n</w:t>
      </w:r>
      <w:r w:rsidR="00102E1C">
        <w:rPr>
          <w:rFonts w:eastAsia="Times New Roman"/>
          <w:lang w:eastAsia="fr-FR"/>
        </w:rPr>
        <w:t>’</w:t>
      </w:r>
      <w:r w:rsidRPr="00A2297C">
        <w:rPr>
          <w:rFonts w:eastAsia="Times New Roman"/>
          <w:lang w:eastAsia="fr-FR"/>
        </w:rPr>
        <w:t xml:space="preserve">apparaissent plus dans la balance. La </w:t>
      </w:r>
      <w:r w:rsidRPr="00554ABE">
        <w:rPr>
          <w:rFonts w:eastAsia="Times New Roman"/>
          <w:b/>
          <w:lang w:eastAsia="fr-FR"/>
        </w:rPr>
        <w:t>balance de clôture</w:t>
      </w:r>
      <w:r w:rsidRPr="00A2297C">
        <w:rPr>
          <w:rFonts w:eastAsia="Times New Roman"/>
          <w:lang w:eastAsia="fr-FR"/>
        </w:rPr>
        <w:t xml:space="preserve"> va regrouper les comptes de classes 1 à 5 et comporter le compte 12 résultat de l</w:t>
      </w:r>
      <w:r w:rsidR="00102E1C">
        <w:rPr>
          <w:rFonts w:eastAsia="Times New Roman"/>
          <w:lang w:eastAsia="fr-FR"/>
        </w:rPr>
        <w:t>’</w:t>
      </w:r>
      <w:r w:rsidRPr="00A2297C">
        <w:rPr>
          <w:rFonts w:eastAsia="Times New Roman"/>
          <w:lang w:eastAsia="fr-FR"/>
        </w:rPr>
        <w:t>entreprise</w:t>
      </w:r>
      <w:r w:rsidR="00102E1C">
        <w:rPr>
          <w:rFonts w:eastAsia="Times New Roman"/>
          <w:lang w:eastAsia="fr-FR"/>
        </w:rPr>
        <w:t>.</w:t>
      </w:r>
    </w:p>
    <w:p w14:paraId="4AA7DEB4" w14:textId="0412D796" w:rsidR="005D1398" w:rsidRPr="005D1398" w:rsidRDefault="005D1398" w:rsidP="005D1398">
      <w:pPr>
        <w:rPr>
          <w:rFonts w:eastAsia="Times New Roman"/>
          <w:lang w:eastAsia="fr-FR"/>
        </w:rPr>
      </w:pPr>
      <w:r w:rsidRPr="00554ABE">
        <w:rPr>
          <w:rFonts w:eastAsia="Times New Roman"/>
          <w:b/>
          <w:lang w:eastAsia="fr-FR"/>
        </w:rPr>
        <w:t>Au cours de la 3</w:t>
      </w:r>
      <w:r>
        <w:rPr>
          <w:rFonts w:eastAsia="Times New Roman"/>
          <w:b/>
          <w:vertAlign w:val="superscript"/>
          <w:lang w:eastAsia="fr-FR"/>
        </w:rPr>
        <w:t>e</w:t>
      </w:r>
      <w:r w:rsidRPr="00554ABE">
        <w:rPr>
          <w:rFonts w:eastAsia="Times New Roman"/>
          <w:b/>
          <w:lang w:eastAsia="fr-FR"/>
        </w:rPr>
        <w:t xml:space="preserve"> étape</w:t>
      </w:r>
      <w:r w:rsidRPr="00A2297C">
        <w:rPr>
          <w:rFonts w:eastAsia="Times New Roman"/>
          <w:lang w:eastAsia="fr-FR"/>
        </w:rPr>
        <w:t xml:space="preserve"> </w:t>
      </w:r>
      <w:r w:rsidRPr="00554ABE">
        <w:rPr>
          <w:rFonts w:eastAsia="Times New Roman"/>
          <w:b/>
          <w:lang w:eastAsia="fr-FR"/>
        </w:rPr>
        <w:t>les journaux sont arrêtés</w:t>
      </w:r>
      <w:r>
        <w:rPr>
          <w:rFonts w:eastAsia="Times New Roman"/>
          <w:lang w:eastAsia="fr-FR"/>
        </w:rPr>
        <w:t xml:space="preserve">. Dès lors, </w:t>
      </w:r>
      <w:r w:rsidRPr="00A2297C">
        <w:rPr>
          <w:rFonts w:eastAsia="Times New Roman"/>
          <w:lang w:eastAsia="fr-FR"/>
        </w:rPr>
        <w:t>tous les comptes de classe 1 à 5 débiteurs sont soldés par le débit du compte 891 Bilan de clôture et les comptes créditeurs sont soldés par le crédit du compte 891 Bilan de clôture</w:t>
      </w:r>
      <w:r>
        <w:rPr>
          <w:rFonts w:eastAsia="Times New Roman"/>
          <w:lang w:eastAsia="fr-FR"/>
        </w:rPr>
        <w:t>.</w:t>
      </w:r>
    </w:p>
    <w:p w14:paraId="25177B68" w14:textId="40890ED2" w:rsidR="005D1398" w:rsidRDefault="005D1398" w:rsidP="005D1398">
      <w:pPr>
        <w:rPr>
          <w:lang w:eastAsia="fr-FR"/>
        </w:rPr>
      </w:pPr>
      <w:r>
        <w:rPr>
          <w:lang w:eastAsia="fr-FR"/>
        </w:rPr>
        <w:t>À</w:t>
      </w:r>
      <w:r>
        <w:rPr>
          <w:lang w:eastAsia="fr-FR"/>
        </w:rPr>
        <w:t xml:space="preserve"> partir de cette étape : </w:t>
      </w:r>
    </w:p>
    <w:p w14:paraId="61C24A07" w14:textId="7AF87873" w:rsidR="005D1398" w:rsidRDefault="005D1398" w:rsidP="00102E1C">
      <w:pPr>
        <w:rPr>
          <w:lang w:eastAsia="fr-FR"/>
        </w:rPr>
      </w:pPr>
      <w:r>
        <w:rPr>
          <w:b/>
          <w:lang w:eastAsia="fr-FR"/>
        </w:rPr>
        <w:lastRenderedPageBreak/>
        <w:t>L</w:t>
      </w:r>
      <w:r w:rsidRPr="00F07912">
        <w:rPr>
          <w:b/>
          <w:lang w:eastAsia="fr-FR"/>
        </w:rPr>
        <w:t>e bilan est établi.</w:t>
      </w:r>
      <w:r>
        <w:rPr>
          <w:lang w:eastAsia="fr-FR"/>
        </w:rPr>
        <w:t xml:space="preserve"> En principe les comptes de bilan ayant un solde débiteur sont inscrits à l</w:t>
      </w:r>
      <w:r w:rsidR="00102E1C">
        <w:rPr>
          <w:lang w:eastAsia="fr-FR"/>
        </w:rPr>
        <w:t>’</w:t>
      </w:r>
      <w:r>
        <w:rPr>
          <w:lang w:eastAsia="fr-FR"/>
        </w:rPr>
        <w:t xml:space="preserve">actif et les comptes de bilan ayant un solde créditeur sont inscrits au passif. Toutefois il existe deux exceptions : </w:t>
      </w:r>
    </w:p>
    <w:p w14:paraId="62021DD2" w14:textId="4D8DDB52" w:rsidR="00102E1C" w:rsidRDefault="005D1398" w:rsidP="00102E1C">
      <w:pPr>
        <w:pStyle w:val="Paragraphedeliste"/>
        <w:numPr>
          <w:ilvl w:val="0"/>
          <w:numId w:val="25"/>
        </w:numPr>
        <w:rPr>
          <w:lang w:eastAsia="fr-FR"/>
        </w:rPr>
      </w:pPr>
      <w:r w:rsidRPr="00F07912">
        <w:rPr>
          <w:lang w:eastAsia="fr-FR"/>
        </w:rPr>
        <w:t xml:space="preserve"> les comptes d</w:t>
      </w:r>
      <w:r w:rsidR="00102E1C">
        <w:rPr>
          <w:lang w:eastAsia="fr-FR"/>
        </w:rPr>
        <w:t>’</w:t>
      </w:r>
      <w:r w:rsidRPr="00F07912">
        <w:rPr>
          <w:lang w:eastAsia="fr-FR"/>
        </w:rPr>
        <w:t xml:space="preserve">amortissements et dépréciations ont un solde créditeur </w:t>
      </w:r>
      <w:r>
        <w:rPr>
          <w:lang w:eastAsia="fr-FR"/>
        </w:rPr>
        <w:t xml:space="preserve">mais </w:t>
      </w:r>
      <w:r w:rsidRPr="00F07912">
        <w:rPr>
          <w:lang w:eastAsia="fr-FR"/>
        </w:rPr>
        <w:t>sont inscrit</w:t>
      </w:r>
      <w:r w:rsidR="00102E1C">
        <w:rPr>
          <w:lang w:eastAsia="fr-FR"/>
        </w:rPr>
        <w:t>s</w:t>
      </w:r>
      <w:r w:rsidRPr="00F07912">
        <w:rPr>
          <w:lang w:eastAsia="fr-FR"/>
        </w:rPr>
        <w:t xml:space="preserve"> </w:t>
      </w:r>
      <w:r>
        <w:rPr>
          <w:lang w:eastAsia="fr-FR"/>
        </w:rPr>
        <w:t>à</w:t>
      </w:r>
      <w:r w:rsidRPr="00F07912">
        <w:rPr>
          <w:lang w:eastAsia="fr-FR"/>
        </w:rPr>
        <w:t xml:space="preserve"> l</w:t>
      </w:r>
      <w:r w:rsidR="00102E1C">
        <w:rPr>
          <w:lang w:eastAsia="fr-FR"/>
        </w:rPr>
        <w:t>’</w:t>
      </w:r>
      <w:r w:rsidRPr="00F07912">
        <w:rPr>
          <w:lang w:eastAsia="fr-FR"/>
        </w:rPr>
        <w:t xml:space="preserve">actif </w:t>
      </w:r>
      <w:r>
        <w:rPr>
          <w:lang w:eastAsia="fr-FR"/>
        </w:rPr>
        <w:t xml:space="preserve">du bilan </w:t>
      </w:r>
      <w:r w:rsidRPr="00F07912">
        <w:rPr>
          <w:lang w:eastAsia="fr-FR"/>
        </w:rPr>
        <w:t>dans une colonne soustractive</w:t>
      </w:r>
      <w:r w:rsidR="00102E1C">
        <w:rPr>
          <w:lang w:eastAsia="fr-FR"/>
        </w:rPr>
        <w:t> ;</w:t>
      </w:r>
    </w:p>
    <w:p w14:paraId="675D6A91" w14:textId="330FB615" w:rsidR="005D1398" w:rsidRDefault="00102E1C" w:rsidP="00102E1C">
      <w:pPr>
        <w:pStyle w:val="Paragraphedeliste"/>
        <w:numPr>
          <w:ilvl w:val="0"/>
          <w:numId w:val="25"/>
        </w:numPr>
        <w:rPr>
          <w:lang w:eastAsia="fr-FR"/>
        </w:rPr>
      </w:pPr>
      <w:r>
        <w:rPr>
          <w:lang w:eastAsia="fr-FR"/>
        </w:rPr>
        <w:t>l</w:t>
      </w:r>
      <w:r w:rsidR="005D1398">
        <w:rPr>
          <w:lang w:eastAsia="fr-FR"/>
        </w:rPr>
        <w:t>e compte Résultat de l</w:t>
      </w:r>
      <w:r>
        <w:rPr>
          <w:lang w:eastAsia="fr-FR"/>
        </w:rPr>
        <w:t>’</w:t>
      </w:r>
      <w:r w:rsidR="005D1398">
        <w:rPr>
          <w:lang w:eastAsia="fr-FR"/>
        </w:rPr>
        <w:t>exercice, quelle que soit la nature de son solde sera présent au passif dans les capitaux propres.</w:t>
      </w:r>
    </w:p>
    <w:p w14:paraId="4E9E937C" w14:textId="4C07F28A" w:rsidR="005D1398" w:rsidRPr="009A1695" w:rsidRDefault="005D1398" w:rsidP="00102E1C">
      <w:pPr>
        <w:rPr>
          <w:lang w:eastAsia="fr-FR"/>
        </w:rPr>
      </w:pPr>
      <w:r w:rsidRPr="002651A0">
        <w:rPr>
          <w:b/>
          <w:lang w:eastAsia="fr-FR"/>
        </w:rPr>
        <w:t>De même que l</w:t>
      </w:r>
      <w:r w:rsidR="00102E1C">
        <w:rPr>
          <w:b/>
          <w:lang w:eastAsia="fr-FR"/>
        </w:rPr>
        <w:t>’</w:t>
      </w:r>
      <w:r w:rsidRPr="002651A0">
        <w:rPr>
          <w:b/>
          <w:lang w:eastAsia="fr-FR"/>
        </w:rPr>
        <w:t xml:space="preserve">annexe. </w:t>
      </w:r>
      <w:r w:rsidRPr="002651A0">
        <w:rPr>
          <w:lang w:eastAsia="fr-FR"/>
        </w:rPr>
        <w:t>L</w:t>
      </w:r>
      <w:r w:rsidR="00102E1C">
        <w:rPr>
          <w:lang w:eastAsia="fr-FR"/>
        </w:rPr>
        <w:t>’</w:t>
      </w:r>
      <w:r w:rsidRPr="002651A0">
        <w:rPr>
          <w:lang w:eastAsia="fr-FR"/>
        </w:rPr>
        <w:t>annexe</w:t>
      </w:r>
      <w:r w:rsidRPr="002651A0">
        <w:rPr>
          <w:b/>
          <w:lang w:eastAsia="fr-FR"/>
        </w:rPr>
        <w:t xml:space="preserve"> </w:t>
      </w:r>
      <w:r w:rsidRPr="009A1695">
        <w:rPr>
          <w:lang w:eastAsia="fr-FR"/>
        </w:rPr>
        <w:t xml:space="preserve">regroupe plusieurs états et tableaux qui permettent de comprendre les données chiffrées présentées dans le </w:t>
      </w:r>
      <w:r w:rsidR="00102E1C">
        <w:rPr>
          <w:lang w:eastAsia="fr-FR"/>
        </w:rPr>
        <w:t>c</w:t>
      </w:r>
      <w:r w:rsidRPr="009A1695">
        <w:rPr>
          <w:lang w:eastAsia="fr-FR"/>
        </w:rPr>
        <w:t xml:space="preserve">ompte de </w:t>
      </w:r>
      <w:r w:rsidR="00102E1C">
        <w:rPr>
          <w:lang w:eastAsia="fr-FR"/>
        </w:rPr>
        <w:t>r</w:t>
      </w:r>
      <w:r w:rsidRPr="009A1695">
        <w:rPr>
          <w:lang w:eastAsia="fr-FR"/>
        </w:rPr>
        <w:t xml:space="preserve">ésultat et le </w:t>
      </w:r>
      <w:r w:rsidR="00102E1C">
        <w:rPr>
          <w:lang w:eastAsia="fr-FR"/>
        </w:rPr>
        <w:t>b</w:t>
      </w:r>
      <w:r w:rsidRPr="009A1695">
        <w:rPr>
          <w:lang w:eastAsia="fr-FR"/>
        </w:rPr>
        <w:t>ilan. Parmi les tableaux composant l</w:t>
      </w:r>
      <w:r w:rsidR="00102E1C">
        <w:rPr>
          <w:lang w:eastAsia="fr-FR"/>
        </w:rPr>
        <w:t>’</w:t>
      </w:r>
      <w:r w:rsidRPr="009A1695">
        <w:rPr>
          <w:lang w:eastAsia="fr-FR"/>
        </w:rPr>
        <w:t xml:space="preserve">annexe, on trouve le </w:t>
      </w:r>
      <w:r w:rsidR="00102E1C">
        <w:rPr>
          <w:lang w:eastAsia="fr-FR"/>
        </w:rPr>
        <w:t>t</w:t>
      </w:r>
      <w:r w:rsidRPr="009A1695">
        <w:rPr>
          <w:lang w:eastAsia="fr-FR"/>
        </w:rPr>
        <w:t xml:space="preserve">ableau des immobilisations, le </w:t>
      </w:r>
      <w:r w:rsidR="00102E1C">
        <w:rPr>
          <w:lang w:eastAsia="fr-FR"/>
        </w:rPr>
        <w:t>t</w:t>
      </w:r>
      <w:r w:rsidRPr="009A1695">
        <w:rPr>
          <w:lang w:eastAsia="fr-FR"/>
        </w:rPr>
        <w:t xml:space="preserve">ableau des amortissements, le </w:t>
      </w:r>
      <w:r w:rsidR="00102E1C">
        <w:rPr>
          <w:lang w:eastAsia="fr-FR"/>
        </w:rPr>
        <w:t>t</w:t>
      </w:r>
      <w:r w:rsidRPr="009A1695">
        <w:rPr>
          <w:lang w:eastAsia="fr-FR"/>
        </w:rPr>
        <w:t>ableau des provisions et l</w:t>
      </w:r>
      <w:r w:rsidR="00102E1C">
        <w:rPr>
          <w:lang w:eastAsia="fr-FR"/>
        </w:rPr>
        <w:t>’é</w:t>
      </w:r>
      <w:r w:rsidRPr="009A1695">
        <w:rPr>
          <w:lang w:eastAsia="fr-FR"/>
        </w:rPr>
        <w:t>tat des échéances des créances et des dettes.</w:t>
      </w:r>
    </w:p>
    <w:p w14:paraId="348CEB04" w14:textId="77777777" w:rsidR="005D1398" w:rsidRPr="00F07912" w:rsidRDefault="005D1398" w:rsidP="00102E1C">
      <w:pPr>
        <w:rPr>
          <w:lang w:eastAsia="fr-FR"/>
        </w:rPr>
      </w:pPr>
    </w:p>
    <w:p w14:paraId="1D20D2AB" w14:textId="165BB156" w:rsidR="005D1398" w:rsidRPr="00BA44B2" w:rsidRDefault="005D1398" w:rsidP="00102E1C">
      <w:pPr>
        <w:pStyle w:val="Titre2"/>
        <w:rPr>
          <w:lang w:eastAsia="fr-FR"/>
        </w:rPr>
      </w:pPr>
      <w:r w:rsidRPr="00BA44B2">
        <w:rPr>
          <w:lang w:eastAsia="fr-FR"/>
        </w:rPr>
        <w:t>Le processus d</w:t>
      </w:r>
      <w:r w:rsidR="00102E1C">
        <w:rPr>
          <w:lang w:eastAsia="fr-FR"/>
        </w:rPr>
        <w:t>’</w:t>
      </w:r>
      <w:r w:rsidRPr="00BA44B2">
        <w:rPr>
          <w:lang w:eastAsia="fr-FR"/>
        </w:rPr>
        <w:t>ouverture d</w:t>
      </w:r>
      <w:r w:rsidR="00102E1C">
        <w:rPr>
          <w:lang w:eastAsia="fr-FR"/>
        </w:rPr>
        <w:t>’</w:t>
      </w:r>
      <w:r w:rsidRPr="00BA44B2">
        <w:rPr>
          <w:lang w:eastAsia="fr-FR"/>
        </w:rPr>
        <w:t>un nouvel exercice</w:t>
      </w:r>
    </w:p>
    <w:p w14:paraId="74301A36" w14:textId="11A34C39" w:rsidR="005D1398" w:rsidRPr="00102E1C" w:rsidRDefault="005D1398" w:rsidP="00102E1C">
      <w:r w:rsidRPr="00102E1C">
        <w:t>Par</w:t>
      </w:r>
      <w:r w:rsidR="00102E1C">
        <w:t xml:space="preserve"> </w:t>
      </w:r>
      <w:r w:rsidRPr="00102E1C">
        <w:t>respect du principe de continuité de l</w:t>
      </w:r>
      <w:r w:rsidR="00102E1C">
        <w:t>’</w:t>
      </w:r>
      <w:r w:rsidRPr="00102E1C">
        <w:t>exploitation, la réouverture des comptes consiste à contrepasser l</w:t>
      </w:r>
      <w:r w:rsidR="00102E1C">
        <w:t>’</w:t>
      </w:r>
      <w:r w:rsidRPr="00102E1C">
        <w:t>écriture du bilan de clôture dans le journal des « à nouveaux » de façon à réouvrir chaque compte des classes 1 à 5 avec le solde qu</w:t>
      </w:r>
      <w:r w:rsidR="00102E1C">
        <w:t>’</w:t>
      </w:r>
      <w:r w:rsidRPr="00102E1C">
        <w:t>il présentait à la clôture de l</w:t>
      </w:r>
      <w:r w:rsidR="00102E1C">
        <w:t>’</w:t>
      </w:r>
      <w:r w:rsidRPr="00102E1C">
        <w:t>exercice précédent. Elle consiste à</w:t>
      </w:r>
      <w:r w:rsidR="00102E1C">
        <w:t> :</w:t>
      </w:r>
    </w:p>
    <w:p w14:paraId="3A18C1E2" w14:textId="77777777" w:rsidR="00102E1C" w:rsidRDefault="00102E1C" w:rsidP="00102E1C">
      <w:pPr>
        <w:pStyle w:val="Paragraphedeliste"/>
        <w:numPr>
          <w:ilvl w:val="0"/>
          <w:numId w:val="25"/>
        </w:numPr>
      </w:pPr>
      <w:r>
        <w:t>d</w:t>
      </w:r>
      <w:r w:rsidR="005D1398" w:rsidRPr="00102E1C">
        <w:t>ébiter</w:t>
      </w:r>
      <w:r>
        <w:t xml:space="preserve"> </w:t>
      </w:r>
      <w:r w:rsidR="005D1398" w:rsidRPr="00102E1C">
        <w:t>l</w:t>
      </w:r>
      <w:r>
        <w:t>’</w:t>
      </w:r>
      <w:r w:rsidR="005D1398" w:rsidRPr="00102E1C">
        <w:t>ensemble des</w:t>
      </w:r>
      <w:r>
        <w:t xml:space="preserve"> </w:t>
      </w:r>
      <w:r w:rsidR="005D1398" w:rsidRPr="00102E1C">
        <w:t>comptes</w:t>
      </w:r>
      <w:r>
        <w:t xml:space="preserve"> </w:t>
      </w:r>
      <w:r w:rsidR="005D1398" w:rsidRPr="00102E1C">
        <w:t>ayant un solde</w:t>
      </w:r>
      <w:r>
        <w:t xml:space="preserve"> </w:t>
      </w:r>
      <w:r w:rsidR="005D1398" w:rsidRPr="00102E1C">
        <w:t>débiteur</w:t>
      </w:r>
      <w:r>
        <w:t xml:space="preserve"> </w:t>
      </w:r>
      <w:r w:rsidR="005D1398" w:rsidRPr="00102E1C">
        <w:t>à la clôture du précédent exercice (et créditer le compte 890 Bilan d</w:t>
      </w:r>
      <w:r>
        <w:t>’</w:t>
      </w:r>
      <w:r w:rsidR="005D1398" w:rsidRPr="00102E1C">
        <w:t>ouverture)</w:t>
      </w:r>
      <w:r>
        <w:t> ;</w:t>
      </w:r>
    </w:p>
    <w:p w14:paraId="34C05FD9" w14:textId="490179BA" w:rsidR="005D1398" w:rsidRPr="00102E1C" w:rsidRDefault="00102E1C" w:rsidP="00102E1C">
      <w:pPr>
        <w:pStyle w:val="Paragraphedeliste"/>
        <w:numPr>
          <w:ilvl w:val="0"/>
          <w:numId w:val="25"/>
        </w:numPr>
      </w:pPr>
      <w:r>
        <w:t>c</w:t>
      </w:r>
      <w:r w:rsidR="005D1398" w:rsidRPr="00102E1C">
        <w:t>réditer</w:t>
      </w:r>
      <w:r>
        <w:t xml:space="preserve"> </w:t>
      </w:r>
      <w:r w:rsidR="005D1398" w:rsidRPr="00102E1C">
        <w:t>l</w:t>
      </w:r>
      <w:r>
        <w:t>’</w:t>
      </w:r>
      <w:r w:rsidR="005D1398" w:rsidRPr="00102E1C">
        <w:t>ensemble des</w:t>
      </w:r>
      <w:r>
        <w:t xml:space="preserve"> </w:t>
      </w:r>
      <w:r w:rsidR="005D1398" w:rsidRPr="00102E1C">
        <w:t>comptes</w:t>
      </w:r>
      <w:r>
        <w:t xml:space="preserve"> </w:t>
      </w:r>
      <w:r w:rsidR="005D1398" w:rsidRPr="00102E1C">
        <w:t>ayant un solde</w:t>
      </w:r>
      <w:r>
        <w:t xml:space="preserve"> </w:t>
      </w:r>
      <w:r w:rsidR="005D1398" w:rsidRPr="00102E1C">
        <w:t>créditeur</w:t>
      </w:r>
      <w:r>
        <w:t xml:space="preserve"> </w:t>
      </w:r>
      <w:r w:rsidR="005D1398" w:rsidRPr="00102E1C">
        <w:t>à la clôture du précédent exercice (et débiter le compte 890 Bilan d</w:t>
      </w:r>
      <w:r>
        <w:t>’</w:t>
      </w:r>
      <w:r w:rsidR="005D1398" w:rsidRPr="00102E1C">
        <w:t>ouverture</w:t>
      </w:r>
      <w:r>
        <w:t>).</w:t>
      </w:r>
    </w:p>
    <w:p w14:paraId="512EA15F" w14:textId="58A7A438" w:rsidR="00880A2E" w:rsidRDefault="005D1398" w:rsidP="00102E1C">
      <w:r w:rsidRPr="00102E1C">
        <w:t>De ce fait, chaque exercice comptable débute avec une balance d</w:t>
      </w:r>
      <w:r w:rsidR="00102E1C">
        <w:t>’</w:t>
      </w:r>
      <w:r w:rsidRPr="00102E1C">
        <w:t>ouverture qui correspond à la balance de clôture de l</w:t>
      </w:r>
      <w:r w:rsidR="00102E1C">
        <w:t>’</w:t>
      </w:r>
      <w:r w:rsidRPr="00102E1C">
        <w:t>exercice précédent et donc un bilan d</w:t>
      </w:r>
      <w:r w:rsidR="00102E1C">
        <w:t>’</w:t>
      </w:r>
      <w:r w:rsidRPr="00102E1C">
        <w:t>ouverture N+1 qui correspond au bilan de clôture N.</w:t>
      </w:r>
      <w:bookmarkStart w:id="0" w:name="_GoBack"/>
      <w:bookmarkEnd w:id="0"/>
    </w:p>
    <w:sectPr w:rsidR="00880A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8A9F" w14:textId="77777777" w:rsidR="00B77771" w:rsidRDefault="00B77771" w:rsidP="00A715E6">
      <w:r>
        <w:separator/>
      </w:r>
    </w:p>
  </w:endnote>
  <w:endnote w:type="continuationSeparator" w:id="0">
    <w:p w14:paraId="7157E832" w14:textId="77777777" w:rsidR="00B77771" w:rsidRDefault="00B77771" w:rsidP="00A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 New Rounded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F6EE" w14:textId="77777777" w:rsidR="006F664C" w:rsidRDefault="006F664C" w:rsidP="00A715E6">
    <w:pPr>
      <w:pStyle w:val="Pieddepage"/>
    </w:pPr>
    <w:r>
      <w:t>© Delagrave</w:t>
    </w:r>
  </w:p>
  <w:p w14:paraId="1228EF6A" w14:textId="77777777" w:rsidR="006F664C" w:rsidRDefault="006F664C" w:rsidP="00A71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66F5D" w14:textId="77777777" w:rsidR="00B77771" w:rsidRDefault="00B77771" w:rsidP="00A715E6">
      <w:r>
        <w:separator/>
      </w:r>
    </w:p>
  </w:footnote>
  <w:footnote w:type="continuationSeparator" w:id="0">
    <w:p w14:paraId="2FAEEC9B" w14:textId="77777777" w:rsidR="00B77771" w:rsidRDefault="00B77771" w:rsidP="00A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634"/>
    <w:multiLevelType w:val="hybridMultilevel"/>
    <w:tmpl w:val="6770C73A"/>
    <w:lvl w:ilvl="0" w:tplc="2EEEE91C">
      <w:start w:val="1"/>
      <w:numFmt w:val="bullet"/>
      <w:lvlText w:val="-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5A9"/>
    <w:multiLevelType w:val="hybridMultilevel"/>
    <w:tmpl w:val="ED928CE6"/>
    <w:lvl w:ilvl="0" w:tplc="610EA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AC0049"/>
    <w:multiLevelType w:val="hybridMultilevel"/>
    <w:tmpl w:val="14B6F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718"/>
    <w:multiLevelType w:val="hybridMultilevel"/>
    <w:tmpl w:val="BA96A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67FF"/>
    <w:multiLevelType w:val="hybridMultilevel"/>
    <w:tmpl w:val="E104E7A2"/>
    <w:lvl w:ilvl="0" w:tplc="8738F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F68E0"/>
    <w:multiLevelType w:val="hybridMultilevel"/>
    <w:tmpl w:val="08F04902"/>
    <w:lvl w:ilvl="0" w:tplc="34109838">
      <w:start w:val="1"/>
      <w:numFmt w:val="decimal"/>
      <w:pStyle w:val="Titre2"/>
      <w:lvlText w:val="%1."/>
      <w:lvlJc w:val="left"/>
      <w:pPr>
        <w:ind w:left="360" w:hanging="360"/>
      </w:pPr>
    </w:lvl>
    <w:lvl w:ilvl="1" w:tplc="3846233E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D24B2"/>
    <w:multiLevelType w:val="hybridMultilevel"/>
    <w:tmpl w:val="0D3E4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AA0"/>
    <w:multiLevelType w:val="hybridMultilevel"/>
    <w:tmpl w:val="10780E94"/>
    <w:lvl w:ilvl="0" w:tplc="774E55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AB2"/>
    <w:multiLevelType w:val="hybridMultilevel"/>
    <w:tmpl w:val="35A09942"/>
    <w:lvl w:ilvl="0" w:tplc="F0881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2934"/>
    <w:multiLevelType w:val="hybridMultilevel"/>
    <w:tmpl w:val="A448F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44D7"/>
    <w:multiLevelType w:val="hybridMultilevel"/>
    <w:tmpl w:val="8B3844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2152"/>
    <w:multiLevelType w:val="hybridMultilevel"/>
    <w:tmpl w:val="B69C1A80"/>
    <w:lvl w:ilvl="0" w:tplc="82849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1E61"/>
    <w:multiLevelType w:val="hybridMultilevel"/>
    <w:tmpl w:val="572CB88E"/>
    <w:lvl w:ilvl="0" w:tplc="E9F6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9294D"/>
    <w:multiLevelType w:val="multilevel"/>
    <w:tmpl w:val="5316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62963"/>
    <w:multiLevelType w:val="hybridMultilevel"/>
    <w:tmpl w:val="0B401104"/>
    <w:lvl w:ilvl="0" w:tplc="AD88BE1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C0761"/>
    <w:multiLevelType w:val="hybridMultilevel"/>
    <w:tmpl w:val="A2EE1F12"/>
    <w:lvl w:ilvl="0" w:tplc="F1DE5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97254"/>
    <w:multiLevelType w:val="hybridMultilevel"/>
    <w:tmpl w:val="6DD4C506"/>
    <w:lvl w:ilvl="0" w:tplc="4614C8E4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AA3638A"/>
    <w:multiLevelType w:val="hybridMultilevel"/>
    <w:tmpl w:val="D1180C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83644"/>
    <w:multiLevelType w:val="hybridMultilevel"/>
    <w:tmpl w:val="D66CA332"/>
    <w:lvl w:ilvl="0" w:tplc="C6C0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C3E2E"/>
    <w:multiLevelType w:val="hybridMultilevel"/>
    <w:tmpl w:val="731691E8"/>
    <w:lvl w:ilvl="0" w:tplc="E9F6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6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563AC"/>
    <w:multiLevelType w:val="hybridMultilevel"/>
    <w:tmpl w:val="01BAB86C"/>
    <w:lvl w:ilvl="0" w:tplc="52620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0C66"/>
    <w:multiLevelType w:val="hybridMultilevel"/>
    <w:tmpl w:val="7144975C"/>
    <w:lvl w:ilvl="0" w:tplc="22127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2D8"/>
    <w:multiLevelType w:val="hybridMultilevel"/>
    <w:tmpl w:val="9AA0721E"/>
    <w:lvl w:ilvl="0" w:tplc="0476961E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21"/>
  </w:num>
  <w:num w:numId="8">
    <w:abstractNumId w:val="8"/>
  </w:num>
  <w:num w:numId="9">
    <w:abstractNumId w:val="6"/>
  </w:num>
  <w:num w:numId="10">
    <w:abstractNumId w:val="3"/>
  </w:num>
  <w:num w:numId="11">
    <w:abstractNumId w:val="20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8"/>
  </w:num>
  <w:num w:numId="22">
    <w:abstractNumId w:val="11"/>
  </w:num>
  <w:num w:numId="23">
    <w:abstractNumId w:val="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E2"/>
    <w:rsid w:val="00102E1C"/>
    <w:rsid w:val="00136335"/>
    <w:rsid w:val="001573AC"/>
    <w:rsid w:val="001B5DE2"/>
    <w:rsid w:val="00206267"/>
    <w:rsid w:val="003521D7"/>
    <w:rsid w:val="003525DC"/>
    <w:rsid w:val="003A6F4D"/>
    <w:rsid w:val="003B7549"/>
    <w:rsid w:val="00471A56"/>
    <w:rsid w:val="00525C0E"/>
    <w:rsid w:val="00553262"/>
    <w:rsid w:val="0056408A"/>
    <w:rsid w:val="005D1398"/>
    <w:rsid w:val="00681F78"/>
    <w:rsid w:val="006A20A6"/>
    <w:rsid w:val="006C3752"/>
    <w:rsid w:val="006F664C"/>
    <w:rsid w:val="00880A2E"/>
    <w:rsid w:val="008D3203"/>
    <w:rsid w:val="009517EE"/>
    <w:rsid w:val="00986690"/>
    <w:rsid w:val="009A5D11"/>
    <w:rsid w:val="00A715E6"/>
    <w:rsid w:val="00A742CC"/>
    <w:rsid w:val="00B77771"/>
    <w:rsid w:val="00B94FF6"/>
    <w:rsid w:val="00BE03ED"/>
    <w:rsid w:val="00BF7364"/>
    <w:rsid w:val="00C04123"/>
    <w:rsid w:val="00C511AB"/>
    <w:rsid w:val="00C73FC0"/>
    <w:rsid w:val="00CA5B74"/>
    <w:rsid w:val="00CB2DB8"/>
    <w:rsid w:val="00CB7E6C"/>
    <w:rsid w:val="00CC3125"/>
    <w:rsid w:val="00D71156"/>
    <w:rsid w:val="00E213FA"/>
    <w:rsid w:val="00E31277"/>
    <w:rsid w:val="00E72EB7"/>
    <w:rsid w:val="00F10F58"/>
    <w:rsid w:val="00F35C1F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D54424"/>
  <w15:docId w15:val="{8043AF55-0C98-46AA-BDCD-EB24219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E6"/>
    <w:pPr>
      <w:spacing w:after="200" w:line="276" w:lineRule="auto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2EB7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EB7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EB7"/>
    <w:pPr>
      <w:numPr>
        <w:ilvl w:val="1"/>
      </w:numPr>
      <w:outlineLvl w:val="2"/>
    </w:pPr>
    <w:rPr>
      <w:color w:val="943634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6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B7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72EB7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72EB7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64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715E6"/>
    <w:pPr>
      <w:ind w:left="720"/>
      <w:contextualSpacing/>
    </w:pPr>
    <w:rPr>
      <w:rFonts w:eastAsiaTheme="minorHAnsi" w:cstheme="minorBidi"/>
    </w:rPr>
  </w:style>
  <w:style w:type="paragraph" w:customStyle="1" w:styleId="07Courstitreniveau2">
    <w:name w:val="07_Cours_titre_niveau_2"/>
    <w:basedOn w:val="Normal"/>
    <w:uiPriority w:val="99"/>
    <w:rsid w:val="003A6F4D"/>
    <w:pPr>
      <w:widowControl w:val="0"/>
      <w:spacing w:before="240" w:after="120" w:line="240" w:lineRule="auto"/>
      <w:ind w:left="720" w:hanging="360"/>
      <w:jc w:val="left"/>
    </w:pPr>
    <w:rPr>
      <w:rFonts w:ascii="Arial" w:eastAsia="Times New Roman" w:hAnsi="Arial" w:cs="Times New Roman"/>
      <w:b/>
      <w:bCs/>
      <w:sz w:val="26"/>
      <w:szCs w:val="24"/>
      <w:lang w:eastAsia="fr-FR"/>
    </w:rPr>
  </w:style>
  <w:style w:type="table" w:styleId="Grilledutableau">
    <w:name w:val="Table Grid"/>
    <w:basedOn w:val="TableauNormal"/>
    <w:uiPriority w:val="39"/>
    <w:rsid w:val="003A6F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521D7"/>
    <w:pPr>
      <w:jc w:val="both"/>
    </w:pPr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8669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lev">
    <w:name w:val="Strong"/>
    <w:qFormat/>
    <w:rsid w:val="009517EE"/>
    <w:rPr>
      <w:b/>
      <w:bCs/>
    </w:rPr>
  </w:style>
  <w:style w:type="paragraph" w:customStyle="1" w:styleId="Contenudetableau">
    <w:name w:val="Contenu de tableau"/>
    <w:basedOn w:val="Normal"/>
    <w:rsid w:val="009517EE"/>
    <w:pPr>
      <w:suppressLineNumbers/>
      <w:suppressAutoHyphens/>
      <w:spacing w:after="0" w:line="240" w:lineRule="auto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D1398"/>
    <w:pPr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anne bonpain</cp:lastModifiedBy>
  <cp:revision>4</cp:revision>
  <dcterms:created xsi:type="dcterms:W3CDTF">2020-03-27T15:47:00Z</dcterms:created>
  <dcterms:modified xsi:type="dcterms:W3CDTF">2020-03-27T15:55:00Z</dcterms:modified>
</cp:coreProperties>
</file>