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0A5CB7" w14:textId="422FB139" w:rsidR="00F86F16" w:rsidRPr="00385E02" w:rsidRDefault="00D54333" w:rsidP="00385E02">
      <w:pPr>
        <w:pStyle w:val="Titre1"/>
        <w:rPr>
          <w:rFonts w:cstheme="minorBidi"/>
        </w:rPr>
      </w:pPr>
      <w:r>
        <w:rPr>
          <w:noProof/>
          <w:lang w:eastAsia="fr-FR"/>
        </w:rPr>
        <w:pict w14:anchorId="2FFB9C6D">
          <v:group id="_x0000_s1035" style="position:absolute;left:0;text-align:left;margin-left:0;margin-top:0;width:453.6pt;height:84.65pt;z-index:251666432;mso-position-horizontal:center;mso-position-horizontal-relative:margin;mso-position-vertical:top;mso-position-vertical-relative:margin" coordorigin="1417,1417" coordsize="9072,16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4844;top:1417;width:5645;height:1693;mso-position-horizontal:right;mso-position-horizontal-relative:margin;mso-position-vertical:top;mso-position-vertical-relative:margin">
              <v:imagedata r:id="rId7" o:title="gestion-finance"/>
            </v:shape>
            <v:group id="_x0000_s1034" style="position:absolute;left:1417;top:1574;width:3076;height:1379" coordorigin="1417,1424" coordsize="3076,1379">
              <v:shape id="_x0000_s1032" type="#_x0000_t75" style="position:absolute;left:1417;top:1424;width:3076;height:852;mso-position-horizontal:left;mso-position-horizontal-relative:margin;mso-position-vertical:top;mso-position-vertical-relative:margin">
                <v:imagedata r:id="rId8" o:title="essentiel"/>
              </v:shape>
              <v:shape id="_x0000_s1033" type="#_x0000_t75" style="position:absolute;left:2025;top:2236;width:1859;height:567;mso-position-horizontal-relative:text;mso-position-vertical-relative:text;mso-width-relative:page;mso-height-relative:page">
                <v:imagedata r:id="rId9" o:title="tle"/>
              </v:shape>
            </v:group>
            <w10:wrap type="square" anchorx="margin" anchory="margin"/>
          </v:group>
        </w:pict>
      </w:r>
      <w:r w:rsidR="00F86F16">
        <w:t>Chapitre 1</w:t>
      </w:r>
      <w:r w:rsidR="00385E02">
        <w:t>5</w:t>
      </w:r>
      <w:r w:rsidR="00F86F16">
        <w:t> : L’affectation du résultat</w:t>
      </w:r>
    </w:p>
    <w:p w14:paraId="6C93897B" w14:textId="292B7FE8" w:rsidR="00F86F16" w:rsidRDefault="00385E02" w:rsidP="00385E02">
      <w:r>
        <w:t>À</w:t>
      </w:r>
      <w:r w:rsidR="00F86F16">
        <w:t xml:space="preserve"> l’inventaire, le bénéfice comptable est déterminé par comparaison des comptes de produits et des comptes de charges. La clôture des comptes annuels fait donc appara</w:t>
      </w:r>
      <w:r>
        <w:t>î</w:t>
      </w:r>
      <w:r w:rsidR="00F86F16">
        <w:t>tre le résultat de l’exercice. S’il s’agit d’un bénéfice, il figure alors au crédit du compte 120 Résultat de l’exercice. L’entreprise doit décider de l’affectation de ce bénéfice.</w:t>
      </w:r>
    </w:p>
    <w:p w14:paraId="730E2BF1" w14:textId="5724147C" w:rsidR="00F86F16" w:rsidRDefault="00F86F16" w:rsidP="00385E02">
      <w:pPr>
        <w:pStyle w:val="Titre2"/>
      </w:pPr>
      <w:r>
        <w:t>L</w:t>
      </w:r>
      <w:r w:rsidR="00385E02">
        <w:t>a répartition du bénéfice</w:t>
      </w:r>
    </w:p>
    <w:p w14:paraId="01B8AAED" w14:textId="77777777" w:rsidR="00F86F16" w:rsidRDefault="00F86F16" w:rsidP="00385E02">
      <w:r>
        <w:t>Le résultat constaté en fin d’exercice a plusieurs utilisations :</w:t>
      </w:r>
    </w:p>
    <w:p w14:paraId="2481E8A4" w14:textId="121B89E0" w:rsidR="00F86F16" w:rsidRDefault="00F86F16" w:rsidP="00385E02">
      <w:pPr>
        <w:pStyle w:val="Paragraphedeliste"/>
        <w:numPr>
          <w:ilvl w:val="0"/>
          <w:numId w:val="9"/>
        </w:numPr>
      </w:pPr>
      <w:r>
        <w:t>Il sert de base au calcul de l’impôt sur les sociétés. La part de bénéfice correspondant à l’impôt est destinée à l’administration fiscale</w:t>
      </w:r>
      <w:r w:rsidR="00385E02">
        <w:t>.</w:t>
      </w:r>
    </w:p>
    <w:p w14:paraId="26C6AB4E" w14:textId="5B19BEF8" w:rsidR="00F86F16" w:rsidRDefault="00F86F16" w:rsidP="00385E02">
      <w:pPr>
        <w:pStyle w:val="Paragraphedeliste"/>
        <w:numPr>
          <w:ilvl w:val="0"/>
          <w:numId w:val="9"/>
        </w:numPr>
      </w:pPr>
      <w:r>
        <w:t>Une part doit être attribuée aux salariés sous forme de participation selon les règles légales en vigueur</w:t>
      </w:r>
      <w:r w:rsidR="00385E02">
        <w:t>.</w:t>
      </w:r>
    </w:p>
    <w:p w14:paraId="2EA6A402" w14:textId="164DAA5E" w:rsidR="00F86F16" w:rsidRDefault="00F86F16" w:rsidP="00385E02">
      <w:pPr>
        <w:pStyle w:val="Paragraphedeliste"/>
        <w:numPr>
          <w:ilvl w:val="0"/>
          <w:numId w:val="9"/>
        </w:numPr>
      </w:pPr>
      <w:r>
        <w:t>Ce qu’il reste doit faire l’objet d’une affectation selon les décisions votées dans le cadre de l</w:t>
      </w:r>
      <w:r w:rsidR="00385E02">
        <w:t>’a</w:t>
      </w:r>
      <w:r>
        <w:t xml:space="preserve">ssemblée générale des actionnaires de clôture des comptes. </w:t>
      </w:r>
    </w:p>
    <w:p w14:paraId="49EE9DF1" w14:textId="77777777" w:rsidR="00F86F16" w:rsidRDefault="00F86F16" w:rsidP="00385E02">
      <w:pPr>
        <w:pStyle w:val="Paragraphedeliste"/>
        <w:numPr>
          <w:ilvl w:val="0"/>
          <w:numId w:val="9"/>
        </w:numPr>
      </w:pPr>
      <w:r>
        <w:t>Cette AGO statue sur la répartition du bénéfice entre les actionnaires et l’entreprise.</w:t>
      </w:r>
    </w:p>
    <w:p w14:paraId="622E0FC0" w14:textId="77777777" w:rsidR="00F86F16" w:rsidRDefault="00F86F16" w:rsidP="00F86F16">
      <w:pPr>
        <w:spacing w:after="0"/>
        <w:ind w:left="708"/>
      </w:pPr>
    </w:p>
    <w:p w14:paraId="1C1F137E" w14:textId="71F170EE" w:rsidR="00F86F16" w:rsidRDefault="00F86F16" w:rsidP="00385E02">
      <w:pPr>
        <w:pStyle w:val="Titre2"/>
      </w:pPr>
      <w:r>
        <w:t>L’affectation du résultat</w:t>
      </w:r>
    </w:p>
    <w:p w14:paraId="6F3B7AF9" w14:textId="77777777" w:rsidR="00F86F16" w:rsidRDefault="00F86F16" w:rsidP="00385E02">
      <w:pPr>
        <w:pStyle w:val="Titre3"/>
      </w:pPr>
      <w:r>
        <w:t>Les différentes affectations possibles</w:t>
      </w:r>
    </w:p>
    <w:p w14:paraId="7E1A62B7" w14:textId="554A137F" w:rsidR="00385E02" w:rsidRDefault="00F86F16" w:rsidP="00385E02">
      <w:r>
        <w:t>En fait, certaines affectations ne relèvent pas vraiment des décisions prises en AGO. En effet, certaines sont imposées par la loi, d’autres trouvent leur origine dans les statuts mêmes de l’entreprise</w:t>
      </w:r>
      <w:r w:rsidR="00385E02">
        <w:t>.</w:t>
      </w:r>
    </w:p>
    <w:p w14:paraId="3757530F" w14:textId="77777777" w:rsidR="00F86F16" w:rsidRPr="00385E02" w:rsidRDefault="00F86F16" w:rsidP="00F86F16">
      <w:pPr>
        <w:pStyle w:val="Paragraphedeliste"/>
        <w:numPr>
          <w:ilvl w:val="0"/>
          <w:numId w:val="5"/>
        </w:numPr>
        <w:spacing w:after="0" w:line="240" w:lineRule="auto"/>
        <w:jc w:val="left"/>
        <w:rPr>
          <w:b/>
          <w:bCs/>
        </w:rPr>
      </w:pPr>
      <w:r w:rsidRPr="00385E02">
        <w:rPr>
          <w:b/>
          <w:bCs/>
        </w:rPr>
        <w:t>La réserve légale</w:t>
      </w:r>
    </w:p>
    <w:p w14:paraId="2C1A3546" w14:textId="13DCA913" w:rsidR="00F86F16" w:rsidRDefault="00F86F16" w:rsidP="00385E02">
      <w:r>
        <w:t xml:space="preserve">La réserve légale est obligatoire dans toutes les sociétés de capitaux, elle est destinée à augmenter les capitaux propres de l’entreprise et </w:t>
      </w:r>
      <w:r w:rsidR="00385E02">
        <w:t xml:space="preserve">à </w:t>
      </w:r>
      <w:r>
        <w:t>offrir ainsi de plus grandes garanties aux créanciers.</w:t>
      </w:r>
    </w:p>
    <w:p w14:paraId="047A9B92" w14:textId="674079C1" w:rsidR="00F86F16" w:rsidRDefault="00F86F16" w:rsidP="00385E02">
      <w:r>
        <w:t>Cette réserve doit atteindre un montant égal à 10</w:t>
      </w:r>
      <w:r w:rsidR="00385E02">
        <w:t> </w:t>
      </w:r>
      <w:r>
        <w:t>% du capital. Une part du bénéfice devra donc être affectée chaque année jusqu’à ce que son montant atteigne 10</w:t>
      </w:r>
      <w:r w:rsidR="00385E02">
        <w:t> </w:t>
      </w:r>
      <w:r>
        <w:t>% du capital.</w:t>
      </w:r>
    </w:p>
    <w:p w14:paraId="6EAEDB0C" w14:textId="0081A960" w:rsidR="00F86F16" w:rsidRDefault="00F86F16" w:rsidP="00385E02">
      <w:r>
        <w:t>La dotation annuelle est égale à 5</w:t>
      </w:r>
      <w:r w:rsidR="00385E02">
        <w:t> </w:t>
      </w:r>
      <w:r>
        <w:t>% du bénéfice de l’entreprise. Si la dotation pour une année donnée fait dépasser le seuil de 10</w:t>
      </w:r>
      <w:r w:rsidR="00385E02">
        <w:t> </w:t>
      </w:r>
      <w:r>
        <w:t>% du capital, la dotation sera réduite de l’excédent.</w:t>
      </w:r>
    </w:p>
    <w:p w14:paraId="45163F3D" w14:textId="77777777" w:rsidR="00F86F16" w:rsidRPr="00385E02" w:rsidRDefault="00F86F16" w:rsidP="00F86F16">
      <w:pPr>
        <w:pStyle w:val="Paragraphedeliste"/>
        <w:numPr>
          <w:ilvl w:val="0"/>
          <w:numId w:val="5"/>
        </w:numPr>
        <w:spacing w:after="0" w:line="256" w:lineRule="auto"/>
        <w:jc w:val="left"/>
        <w:rPr>
          <w:b/>
          <w:bCs/>
        </w:rPr>
      </w:pPr>
      <w:r w:rsidRPr="00385E02">
        <w:rPr>
          <w:b/>
          <w:bCs/>
        </w:rPr>
        <w:t>Les affectations prévues dans les statuts</w:t>
      </w:r>
    </w:p>
    <w:p w14:paraId="0184E5F3" w14:textId="77777777" w:rsidR="00F86F16" w:rsidRDefault="00F86F16" w:rsidP="00F86F16">
      <w:pPr>
        <w:spacing w:after="0"/>
      </w:pPr>
      <w:r>
        <w:lastRenderedPageBreak/>
        <w:t>Les statuts sont des textes précisant les règles de fonctionnement de la société et élaborés dès sa création. Ils prévoient des affectations particulières du bénéfice. En effet, les statuts représentent le texte de loi fondateur de la société (ils relèvent de ce que l’on appelle le droit conventionnel).</w:t>
      </w:r>
    </w:p>
    <w:p w14:paraId="62764622" w14:textId="77777777" w:rsidR="00F86F16" w:rsidRDefault="00F86F16" w:rsidP="00F86F16">
      <w:pPr>
        <w:spacing w:after="0"/>
      </w:pPr>
      <w:r>
        <w:t>Les affectations concernées sont :</w:t>
      </w:r>
    </w:p>
    <w:p w14:paraId="6E6D82A8" w14:textId="0B31107A" w:rsidR="00F86F16" w:rsidRDefault="00F86F16" w:rsidP="00385E02">
      <w:pPr>
        <w:pStyle w:val="Paragraphedeliste"/>
        <w:numPr>
          <w:ilvl w:val="0"/>
          <w:numId w:val="11"/>
        </w:numPr>
        <w:spacing w:after="0" w:line="256" w:lineRule="auto"/>
        <w:jc w:val="left"/>
      </w:pPr>
      <w:r w:rsidRPr="00385E02">
        <w:rPr>
          <w:b/>
          <w:bCs/>
        </w:rPr>
        <w:t>la dotation à une réserve statutaire,</w:t>
      </w:r>
      <w:r>
        <w:t xml:space="preserve"> son montant (ou le taux d’affectation) est fixé dès la création</w:t>
      </w:r>
      <w:r w:rsidR="00385E02">
        <w:t> ;</w:t>
      </w:r>
    </w:p>
    <w:p w14:paraId="7A3A5972" w14:textId="59CD188A" w:rsidR="00F86F16" w:rsidRDefault="00F86F16" w:rsidP="00385E02">
      <w:pPr>
        <w:pStyle w:val="Paragraphedeliste"/>
        <w:numPr>
          <w:ilvl w:val="0"/>
          <w:numId w:val="11"/>
        </w:numPr>
        <w:spacing w:after="0" w:line="256" w:lineRule="auto"/>
        <w:jc w:val="left"/>
      </w:pPr>
      <w:r w:rsidRPr="00385E02">
        <w:rPr>
          <w:b/>
          <w:bCs/>
        </w:rPr>
        <w:t>la dotation à une réserve facultative</w:t>
      </w:r>
      <w:r>
        <w:t xml:space="preserve"> dont le montant reste à la libre initiative de l’AGO</w:t>
      </w:r>
      <w:r w:rsidR="00385E02">
        <w:t> ;</w:t>
      </w:r>
    </w:p>
    <w:p w14:paraId="2B865257" w14:textId="226C5A3B" w:rsidR="00F86F16" w:rsidRDefault="00F86F16" w:rsidP="00385E02">
      <w:pPr>
        <w:pStyle w:val="Paragraphedeliste"/>
        <w:numPr>
          <w:ilvl w:val="0"/>
          <w:numId w:val="11"/>
        </w:numPr>
        <w:spacing w:after="0" w:line="256" w:lineRule="auto"/>
        <w:jc w:val="left"/>
      </w:pPr>
      <w:r w:rsidRPr="00385E02">
        <w:rPr>
          <w:b/>
          <w:bCs/>
        </w:rPr>
        <w:t>l’attribution d’un intérêt statutaire :</w:t>
      </w:r>
      <w:r>
        <w:t xml:space="preserve"> il s’agit de la rémunération des actionnaires prévue dès la création de la société. Cette rémunération est calculée sur la base de la valeur nominale (valeur d’origine de l’action avant toute transaction sur les marchés financiers) de l’action, à un taux fixé par les statuts. Elle représente la part fixe de ce que chaque associé perçoit sur le bénéfice de l’entreprise</w:t>
      </w:r>
      <w:r w:rsidR="00385E02">
        <w:t> ;</w:t>
      </w:r>
    </w:p>
    <w:p w14:paraId="5B11AB0C" w14:textId="13765F78" w:rsidR="00F86F16" w:rsidRDefault="00F86F16" w:rsidP="00385E02">
      <w:pPr>
        <w:pStyle w:val="Paragraphedeliste"/>
        <w:numPr>
          <w:ilvl w:val="0"/>
          <w:numId w:val="11"/>
        </w:numPr>
        <w:spacing w:after="0" w:line="256" w:lineRule="auto"/>
        <w:jc w:val="left"/>
      </w:pPr>
      <w:r w:rsidRPr="00385E02">
        <w:rPr>
          <w:b/>
          <w:bCs/>
        </w:rPr>
        <w:t>l’attribution d’un superdividende</w:t>
      </w:r>
      <w:r w:rsidR="00385E02" w:rsidRPr="00385E02">
        <w:rPr>
          <w:b/>
          <w:bCs/>
        </w:rPr>
        <w:t> :</w:t>
      </w:r>
      <w:r>
        <w:t xml:space="preserve"> </w:t>
      </w:r>
      <w:r w:rsidR="00385E02">
        <w:t>l</w:t>
      </w:r>
      <w:r>
        <w:t>e superdividende est la part variable de rémunération de l’actionnaire. Elle est déterminée lors de l’AGO et dépend du bénéfice réalisé. Le superdividende complète l’intérêt statutaire pour former le dividende. Il reflète l’aptitude de l’entreprise à être rentable.</w:t>
      </w:r>
    </w:p>
    <w:p w14:paraId="4FDBC439" w14:textId="77777777" w:rsidR="00F86F16" w:rsidRDefault="00F86F16" w:rsidP="00F86F16">
      <w:pPr>
        <w:spacing w:after="0"/>
      </w:pPr>
    </w:p>
    <w:p w14:paraId="3D03A8E2" w14:textId="77777777" w:rsidR="00F86F16" w:rsidRDefault="00F86F16" w:rsidP="00385E02">
      <w:pPr>
        <w:pStyle w:val="Titre3"/>
      </w:pPr>
      <w:r>
        <w:t>Le tableau d’affectation</w:t>
      </w:r>
    </w:p>
    <w:p w14:paraId="5072A856" w14:textId="77777777" w:rsidR="00F86F16" w:rsidRDefault="00F86F16" w:rsidP="00EE4520">
      <w:r>
        <w:t>Pour avoir une meilleure vision des différentes affectations du résultat, il est de coutume de présenter un tableau d’affectation du résultat.</w:t>
      </w:r>
    </w:p>
    <w:tbl>
      <w:tblPr>
        <w:tblStyle w:val="Grilledutableau"/>
        <w:tblW w:w="9464" w:type="dxa"/>
        <w:tblLook w:val="04A0" w:firstRow="1" w:lastRow="0" w:firstColumn="1" w:lastColumn="0" w:noHBand="0" w:noVBand="1"/>
      </w:tblPr>
      <w:tblGrid>
        <w:gridCol w:w="2830"/>
        <w:gridCol w:w="6634"/>
      </w:tblGrid>
      <w:tr w:rsidR="00F86F16" w14:paraId="7F1B936F" w14:textId="77777777" w:rsidTr="00EE4520">
        <w:tc>
          <w:tcPr>
            <w:tcW w:w="2830" w:type="dxa"/>
            <w:tcBorders>
              <w:top w:val="single" w:sz="4" w:space="0" w:color="auto"/>
              <w:left w:val="single" w:sz="4" w:space="0" w:color="auto"/>
              <w:bottom w:val="single" w:sz="4" w:space="0" w:color="auto"/>
              <w:right w:val="single" w:sz="4" w:space="0" w:color="auto"/>
            </w:tcBorders>
            <w:hideMark/>
          </w:tcPr>
          <w:p w14:paraId="59B0DAF6" w14:textId="2F5FD0DF" w:rsidR="00F86F16" w:rsidRDefault="00EE4520">
            <w:pPr>
              <w:spacing w:after="0" w:line="240" w:lineRule="auto"/>
              <w:jc w:val="center"/>
              <w:rPr>
                <w:b/>
              </w:rPr>
            </w:pPr>
            <w:r>
              <w:rPr>
                <w:b/>
              </w:rPr>
              <w:t>É</w:t>
            </w:r>
            <w:r w:rsidR="00F86F16">
              <w:rPr>
                <w:b/>
              </w:rPr>
              <w:t>léments</w:t>
            </w:r>
          </w:p>
        </w:tc>
        <w:tc>
          <w:tcPr>
            <w:tcW w:w="6634" w:type="dxa"/>
            <w:tcBorders>
              <w:top w:val="single" w:sz="4" w:space="0" w:color="auto"/>
              <w:left w:val="single" w:sz="4" w:space="0" w:color="auto"/>
              <w:bottom w:val="single" w:sz="4" w:space="0" w:color="auto"/>
              <w:right w:val="single" w:sz="4" w:space="0" w:color="auto"/>
            </w:tcBorders>
            <w:hideMark/>
          </w:tcPr>
          <w:p w14:paraId="70CCE289" w14:textId="77777777" w:rsidR="00F86F16" w:rsidRDefault="00F86F16">
            <w:pPr>
              <w:spacing w:after="0" w:line="240" w:lineRule="auto"/>
              <w:jc w:val="center"/>
              <w:rPr>
                <w:b/>
              </w:rPr>
            </w:pPr>
            <w:r>
              <w:rPr>
                <w:b/>
              </w:rPr>
              <w:t>Montant</w:t>
            </w:r>
          </w:p>
        </w:tc>
      </w:tr>
      <w:tr w:rsidR="00F86F16" w14:paraId="02F16FE4" w14:textId="77777777" w:rsidTr="00EE4520">
        <w:tc>
          <w:tcPr>
            <w:tcW w:w="2830" w:type="dxa"/>
            <w:tcBorders>
              <w:top w:val="single" w:sz="4" w:space="0" w:color="auto"/>
              <w:left w:val="single" w:sz="4" w:space="0" w:color="auto"/>
              <w:bottom w:val="single" w:sz="4" w:space="0" w:color="auto"/>
              <w:right w:val="single" w:sz="4" w:space="0" w:color="auto"/>
            </w:tcBorders>
            <w:hideMark/>
          </w:tcPr>
          <w:p w14:paraId="5FF3F84B" w14:textId="77777777" w:rsidR="00F86F16" w:rsidRDefault="00F86F16">
            <w:pPr>
              <w:spacing w:after="0" w:line="240" w:lineRule="auto"/>
            </w:pPr>
            <w:r>
              <w:t>Résultat de l’exercice</w:t>
            </w:r>
          </w:p>
        </w:tc>
        <w:tc>
          <w:tcPr>
            <w:tcW w:w="6634" w:type="dxa"/>
            <w:tcBorders>
              <w:top w:val="single" w:sz="4" w:space="0" w:color="auto"/>
              <w:left w:val="single" w:sz="4" w:space="0" w:color="auto"/>
              <w:bottom w:val="single" w:sz="4" w:space="0" w:color="auto"/>
              <w:right w:val="single" w:sz="4" w:space="0" w:color="auto"/>
            </w:tcBorders>
            <w:hideMark/>
          </w:tcPr>
          <w:p w14:paraId="2D892F89" w14:textId="77777777" w:rsidR="00F86F16" w:rsidRDefault="00F86F16">
            <w:pPr>
              <w:spacing w:after="0" w:line="240" w:lineRule="auto"/>
            </w:pPr>
            <w:r>
              <w:t>Montant figurant au crédit du compte 120</w:t>
            </w:r>
          </w:p>
        </w:tc>
      </w:tr>
      <w:tr w:rsidR="00F86F16" w14:paraId="24CABCDE" w14:textId="77777777" w:rsidTr="00EE4520">
        <w:tc>
          <w:tcPr>
            <w:tcW w:w="2830" w:type="dxa"/>
            <w:tcBorders>
              <w:top w:val="single" w:sz="4" w:space="0" w:color="auto"/>
              <w:left w:val="single" w:sz="4" w:space="0" w:color="auto"/>
              <w:bottom w:val="single" w:sz="4" w:space="0" w:color="auto"/>
              <w:right w:val="single" w:sz="4" w:space="0" w:color="auto"/>
            </w:tcBorders>
            <w:hideMark/>
          </w:tcPr>
          <w:p w14:paraId="035E3E7F" w14:textId="022D4607" w:rsidR="00F86F16" w:rsidRDefault="00F86F16">
            <w:pPr>
              <w:spacing w:after="0" w:line="240" w:lineRule="auto"/>
            </w:pPr>
            <w:r>
              <w:t>Report à nouveau de N</w:t>
            </w:r>
            <w:r w:rsidR="00EE4520">
              <w:t>-</w:t>
            </w:r>
            <w:r>
              <w:t>1</w:t>
            </w:r>
          </w:p>
        </w:tc>
        <w:tc>
          <w:tcPr>
            <w:tcW w:w="6634" w:type="dxa"/>
            <w:tcBorders>
              <w:top w:val="single" w:sz="4" w:space="0" w:color="auto"/>
              <w:left w:val="single" w:sz="4" w:space="0" w:color="auto"/>
              <w:bottom w:val="single" w:sz="4" w:space="0" w:color="auto"/>
              <w:right w:val="single" w:sz="4" w:space="0" w:color="auto"/>
            </w:tcBorders>
            <w:hideMark/>
          </w:tcPr>
          <w:p w14:paraId="5190383F" w14:textId="77777777" w:rsidR="00F86F16" w:rsidRDefault="00F86F16">
            <w:pPr>
              <w:spacing w:after="0" w:line="240" w:lineRule="auto"/>
            </w:pPr>
            <w:r>
              <w:t>Montant figurant dans le compte 110 (à rajouter )ou 119 (à soustraire)</w:t>
            </w:r>
          </w:p>
        </w:tc>
      </w:tr>
      <w:tr w:rsidR="00F86F16" w14:paraId="39D71E44" w14:textId="77777777" w:rsidTr="00EE4520">
        <w:tc>
          <w:tcPr>
            <w:tcW w:w="2830" w:type="dxa"/>
            <w:tcBorders>
              <w:top w:val="single" w:sz="4" w:space="0" w:color="auto"/>
              <w:left w:val="single" w:sz="4" w:space="0" w:color="auto"/>
              <w:bottom w:val="single" w:sz="4" w:space="0" w:color="auto"/>
              <w:right w:val="single" w:sz="4" w:space="0" w:color="auto"/>
            </w:tcBorders>
            <w:hideMark/>
          </w:tcPr>
          <w:p w14:paraId="10BC6219" w14:textId="77777777" w:rsidR="00F86F16" w:rsidRDefault="00F86F16">
            <w:pPr>
              <w:spacing w:after="0" w:line="240" w:lineRule="auto"/>
            </w:pPr>
            <w:r>
              <w:t>Dotation à la réserve légale</w:t>
            </w:r>
          </w:p>
        </w:tc>
        <w:tc>
          <w:tcPr>
            <w:tcW w:w="6634" w:type="dxa"/>
            <w:tcBorders>
              <w:top w:val="single" w:sz="4" w:space="0" w:color="auto"/>
              <w:left w:val="single" w:sz="4" w:space="0" w:color="auto"/>
              <w:bottom w:val="single" w:sz="4" w:space="0" w:color="auto"/>
              <w:right w:val="single" w:sz="4" w:space="0" w:color="auto"/>
            </w:tcBorders>
            <w:hideMark/>
          </w:tcPr>
          <w:p w14:paraId="260C1D92" w14:textId="7176B07D" w:rsidR="00F86F16" w:rsidRDefault="00F86F16">
            <w:pPr>
              <w:spacing w:after="0" w:line="240" w:lineRule="auto"/>
            </w:pPr>
            <w:r>
              <w:t>Montant calculé 5 % du bénéfice</w:t>
            </w:r>
            <w:r w:rsidR="00EE4520">
              <w:t>,</w:t>
            </w:r>
            <w:r>
              <w:t xml:space="preserve"> jusqu’à ce qu’elle soit égale à 10 % du capital</w:t>
            </w:r>
          </w:p>
        </w:tc>
      </w:tr>
      <w:tr w:rsidR="00F86F16" w14:paraId="2B371135" w14:textId="77777777" w:rsidTr="00EE4520">
        <w:tc>
          <w:tcPr>
            <w:tcW w:w="2830" w:type="dxa"/>
            <w:tcBorders>
              <w:top w:val="single" w:sz="4" w:space="0" w:color="auto"/>
              <w:left w:val="single" w:sz="4" w:space="0" w:color="auto"/>
              <w:bottom w:val="single" w:sz="4" w:space="0" w:color="auto"/>
              <w:right w:val="single" w:sz="4" w:space="0" w:color="auto"/>
            </w:tcBorders>
            <w:hideMark/>
          </w:tcPr>
          <w:p w14:paraId="0CB0E156" w14:textId="77777777" w:rsidR="00F86F16" w:rsidRDefault="00F86F16">
            <w:pPr>
              <w:spacing w:after="0" w:line="240" w:lineRule="auto"/>
            </w:pPr>
            <w:r>
              <w:t>Bénéfice distribuable</w:t>
            </w:r>
          </w:p>
        </w:tc>
        <w:tc>
          <w:tcPr>
            <w:tcW w:w="6634" w:type="dxa"/>
            <w:tcBorders>
              <w:top w:val="single" w:sz="4" w:space="0" w:color="auto"/>
              <w:left w:val="single" w:sz="4" w:space="0" w:color="auto"/>
              <w:bottom w:val="single" w:sz="4" w:space="0" w:color="auto"/>
              <w:right w:val="single" w:sz="4" w:space="0" w:color="auto"/>
            </w:tcBorders>
            <w:hideMark/>
          </w:tcPr>
          <w:p w14:paraId="78C1506B" w14:textId="77777777" w:rsidR="00F86F16" w:rsidRDefault="00F86F16">
            <w:pPr>
              <w:spacing w:after="0" w:line="240" w:lineRule="auto"/>
            </w:pPr>
            <w:r>
              <w:t>Résultat +/- report à nouveau – dotation à la réserve légale</w:t>
            </w:r>
          </w:p>
        </w:tc>
      </w:tr>
      <w:tr w:rsidR="00F86F16" w14:paraId="4AC07F9D" w14:textId="77777777" w:rsidTr="00EE4520">
        <w:tc>
          <w:tcPr>
            <w:tcW w:w="2830" w:type="dxa"/>
            <w:tcBorders>
              <w:top w:val="single" w:sz="4" w:space="0" w:color="auto"/>
              <w:left w:val="single" w:sz="4" w:space="0" w:color="auto"/>
              <w:bottom w:val="single" w:sz="4" w:space="0" w:color="auto"/>
              <w:right w:val="single" w:sz="4" w:space="0" w:color="auto"/>
            </w:tcBorders>
            <w:hideMark/>
          </w:tcPr>
          <w:p w14:paraId="7A9BED4D" w14:textId="77777777" w:rsidR="00F86F16" w:rsidRDefault="00F86F16">
            <w:pPr>
              <w:spacing w:after="0" w:line="240" w:lineRule="auto"/>
            </w:pPr>
            <w:r>
              <w:t>Réserve statutaire</w:t>
            </w:r>
          </w:p>
        </w:tc>
        <w:tc>
          <w:tcPr>
            <w:tcW w:w="6634" w:type="dxa"/>
            <w:tcBorders>
              <w:top w:val="single" w:sz="4" w:space="0" w:color="auto"/>
              <w:left w:val="single" w:sz="4" w:space="0" w:color="auto"/>
              <w:bottom w:val="single" w:sz="4" w:space="0" w:color="auto"/>
              <w:right w:val="single" w:sz="4" w:space="0" w:color="auto"/>
            </w:tcBorders>
            <w:hideMark/>
          </w:tcPr>
          <w:p w14:paraId="4AEB9503" w14:textId="77777777" w:rsidR="00F86F16" w:rsidRDefault="00F86F16">
            <w:pPr>
              <w:spacing w:after="0" w:line="240" w:lineRule="auto"/>
            </w:pPr>
            <w:r>
              <w:t>Montant calculé en fonction des dispositions statutaires</w:t>
            </w:r>
          </w:p>
        </w:tc>
      </w:tr>
      <w:tr w:rsidR="00F86F16" w14:paraId="6F554119" w14:textId="77777777" w:rsidTr="00EE4520">
        <w:tc>
          <w:tcPr>
            <w:tcW w:w="2830" w:type="dxa"/>
            <w:tcBorders>
              <w:top w:val="single" w:sz="4" w:space="0" w:color="auto"/>
              <w:left w:val="single" w:sz="4" w:space="0" w:color="auto"/>
              <w:bottom w:val="single" w:sz="4" w:space="0" w:color="auto"/>
              <w:right w:val="single" w:sz="4" w:space="0" w:color="auto"/>
            </w:tcBorders>
            <w:hideMark/>
          </w:tcPr>
          <w:p w14:paraId="55EC769C" w14:textId="77777777" w:rsidR="00F86F16" w:rsidRDefault="00F86F16">
            <w:pPr>
              <w:spacing w:after="0" w:line="240" w:lineRule="auto"/>
            </w:pPr>
            <w:r>
              <w:t>Intérêt statutaire (1)</w:t>
            </w:r>
          </w:p>
        </w:tc>
        <w:tc>
          <w:tcPr>
            <w:tcW w:w="6634" w:type="dxa"/>
            <w:tcBorders>
              <w:top w:val="single" w:sz="4" w:space="0" w:color="auto"/>
              <w:left w:val="single" w:sz="4" w:space="0" w:color="auto"/>
              <w:bottom w:val="single" w:sz="4" w:space="0" w:color="auto"/>
              <w:right w:val="single" w:sz="4" w:space="0" w:color="auto"/>
            </w:tcBorders>
            <w:hideMark/>
          </w:tcPr>
          <w:p w14:paraId="6B8F30EF" w14:textId="77777777" w:rsidR="00F86F16" w:rsidRDefault="00F86F16">
            <w:pPr>
              <w:spacing w:after="0" w:line="240" w:lineRule="auto"/>
            </w:pPr>
            <w:r>
              <w:t>Montant calculé en fonction des dispositions statutaires</w:t>
            </w:r>
          </w:p>
        </w:tc>
      </w:tr>
      <w:tr w:rsidR="00F86F16" w14:paraId="0DB928D0" w14:textId="77777777" w:rsidTr="00EE4520">
        <w:tc>
          <w:tcPr>
            <w:tcW w:w="2830" w:type="dxa"/>
            <w:tcBorders>
              <w:top w:val="single" w:sz="4" w:space="0" w:color="auto"/>
              <w:left w:val="single" w:sz="4" w:space="0" w:color="auto"/>
              <w:bottom w:val="single" w:sz="4" w:space="0" w:color="auto"/>
              <w:right w:val="single" w:sz="4" w:space="0" w:color="auto"/>
            </w:tcBorders>
            <w:hideMark/>
          </w:tcPr>
          <w:p w14:paraId="34AF5B16" w14:textId="77777777" w:rsidR="00F86F16" w:rsidRDefault="00F86F16">
            <w:pPr>
              <w:spacing w:after="0" w:line="240" w:lineRule="auto"/>
            </w:pPr>
            <w:r>
              <w:t>Réserve facultative (2)</w:t>
            </w:r>
          </w:p>
        </w:tc>
        <w:tc>
          <w:tcPr>
            <w:tcW w:w="6634" w:type="dxa"/>
            <w:tcBorders>
              <w:top w:val="single" w:sz="4" w:space="0" w:color="auto"/>
              <w:left w:val="single" w:sz="4" w:space="0" w:color="auto"/>
              <w:bottom w:val="single" w:sz="4" w:space="0" w:color="auto"/>
              <w:right w:val="single" w:sz="4" w:space="0" w:color="auto"/>
            </w:tcBorders>
            <w:hideMark/>
          </w:tcPr>
          <w:p w14:paraId="46463056" w14:textId="77777777" w:rsidR="00F86F16" w:rsidRDefault="00F86F16">
            <w:pPr>
              <w:spacing w:after="0" w:line="240" w:lineRule="auto"/>
            </w:pPr>
            <w:r>
              <w:t>Montant calculé en fonction des décisions de l’AGO</w:t>
            </w:r>
          </w:p>
        </w:tc>
      </w:tr>
      <w:tr w:rsidR="00F86F16" w14:paraId="2E54A974" w14:textId="77777777" w:rsidTr="00EE4520">
        <w:tc>
          <w:tcPr>
            <w:tcW w:w="2830" w:type="dxa"/>
            <w:tcBorders>
              <w:top w:val="single" w:sz="4" w:space="0" w:color="auto"/>
              <w:left w:val="single" w:sz="4" w:space="0" w:color="auto"/>
              <w:bottom w:val="single" w:sz="4" w:space="0" w:color="auto"/>
              <w:right w:val="single" w:sz="4" w:space="0" w:color="auto"/>
            </w:tcBorders>
            <w:hideMark/>
          </w:tcPr>
          <w:p w14:paraId="135F77AD" w14:textId="77777777" w:rsidR="00F86F16" w:rsidRDefault="00F86F16">
            <w:pPr>
              <w:spacing w:after="0" w:line="240" w:lineRule="auto"/>
            </w:pPr>
            <w:r>
              <w:t>Superdividende (3)</w:t>
            </w:r>
          </w:p>
        </w:tc>
        <w:tc>
          <w:tcPr>
            <w:tcW w:w="6634" w:type="dxa"/>
            <w:tcBorders>
              <w:top w:val="single" w:sz="4" w:space="0" w:color="auto"/>
              <w:left w:val="single" w:sz="4" w:space="0" w:color="auto"/>
              <w:bottom w:val="single" w:sz="4" w:space="0" w:color="auto"/>
              <w:right w:val="single" w:sz="4" w:space="0" w:color="auto"/>
            </w:tcBorders>
            <w:hideMark/>
          </w:tcPr>
          <w:p w14:paraId="507EDF98" w14:textId="77777777" w:rsidR="00F86F16" w:rsidRDefault="00F86F16">
            <w:pPr>
              <w:spacing w:after="0" w:line="240" w:lineRule="auto"/>
            </w:pPr>
            <w:r>
              <w:t>Montant calculé en fonction des décisions de l’AGO</w:t>
            </w:r>
          </w:p>
        </w:tc>
      </w:tr>
      <w:tr w:rsidR="00F86F16" w14:paraId="37D3B67F" w14:textId="77777777" w:rsidTr="00EE4520">
        <w:tc>
          <w:tcPr>
            <w:tcW w:w="2830" w:type="dxa"/>
            <w:tcBorders>
              <w:top w:val="single" w:sz="4" w:space="0" w:color="auto"/>
              <w:left w:val="single" w:sz="4" w:space="0" w:color="auto"/>
              <w:bottom w:val="single" w:sz="4" w:space="0" w:color="auto"/>
              <w:right w:val="single" w:sz="4" w:space="0" w:color="auto"/>
            </w:tcBorders>
            <w:hideMark/>
          </w:tcPr>
          <w:p w14:paraId="00F59BD0" w14:textId="77777777" w:rsidR="00F86F16" w:rsidRDefault="00F86F16">
            <w:pPr>
              <w:spacing w:after="0" w:line="240" w:lineRule="auto"/>
            </w:pPr>
            <w:r>
              <w:t>Report à nouveau N</w:t>
            </w:r>
          </w:p>
        </w:tc>
        <w:tc>
          <w:tcPr>
            <w:tcW w:w="6634" w:type="dxa"/>
            <w:tcBorders>
              <w:top w:val="single" w:sz="4" w:space="0" w:color="auto"/>
              <w:left w:val="single" w:sz="4" w:space="0" w:color="auto"/>
              <w:bottom w:val="single" w:sz="4" w:space="0" w:color="auto"/>
              <w:right w:val="single" w:sz="4" w:space="0" w:color="auto"/>
            </w:tcBorders>
            <w:hideMark/>
          </w:tcPr>
          <w:p w14:paraId="696737C7" w14:textId="55EEA9AE" w:rsidR="00F86F16" w:rsidRDefault="00F86F16">
            <w:pPr>
              <w:spacing w:after="0" w:line="240" w:lineRule="auto"/>
            </w:pPr>
            <w:r>
              <w:t>= bénéfice distribuable – les dotations (1), (2)</w:t>
            </w:r>
            <w:r w:rsidR="00EE4520">
              <w:t xml:space="preserve"> </w:t>
            </w:r>
            <w:r>
              <w:t>et (3)</w:t>
            </w:r>
          </w:p>
        </w:tc>
      </w:tr>
    </w:tbl>
    <w:p w14:paraId="7EE097C9" w14:textId="77777777" w:rsidR="00EE4520" w:rsidRDefault="00EE4520" w:rsidP="00EE4520"/>
    <w:p w14:paraId="500CE5FA" w14:textId="30A68246" w:rsidR="00F86F16" w:rsidRPr="00EE4520" w:rsidRDefault="00F86F16" w:rsidP="00EE4520">
      <w:pPr>
        <w:rPr>
          <w:rFonts w:cstheme="minorBidi"/>
          <w:i/>
          <w:iCs/>
        </w:rPr>
      </w:pPr>
      <w:r w:rsidRPr="00EE4520">
        <w:rPr>
          <w:i/>
          <w:iCs/>
        </w:rPr>
        <w:t>Exemple : Une entreprise au capital de 50 000 € (1 000 actions de 50 €) a réalisé un bénéfice de 60 000 €. Le compte 1061 Réserve légale a un solde de 4 800 €. Le compte 110 Report à nouveau a un solde de 1 200 € au 31/12/N avant l’affectation du résultat. L’intérêt statutaire est de 20 % du capital, la réserve statutaire est de 25 % du capital. L’AGO a décidé d’affecter 25 000 € en réserve facultative et d’attribuer un superdividende de 8 € par action.</w:t>
      </w:r>
    </w:p>
    <w:p w14:paraId="19DF785F" w14:textId="77777777" w:rsidR="00F86F16" w:rsidRPr="00EE4520" w:rsidRDefault="00F86F16" w:rsidP="00EE4520">
      <w:pPr>
        <w:rPr>
          <w:i/>
          <w:iCs/>
        </w:rPr>
      </w:pPr>
      <w:r w:rsidRPr="00EE4520">
        <w:rPr>
          <w:i/>
          <w:iCs/>
        </w:rPr>
        <w:t>Le tableau d’affectation du résultat est le suivant :</w:t>
      </w:r>
    </w:p>
    <w:tbl>
      <w:tblPr>
        <w:tblStyle w:val="Grilledutableau"/>
        <w:tblW w:w="0" w:type="auto"/>
        <w:tblLook w:val="04A0" w:firstRow="1" w:lastRow="0" w:firstColumn="1" w:lastColumn="0" w:noHBand="0" w:noVBand="1"/>
      </w:tblPr>
      <w:tblGrid>
        <w:gridCol w:w="2943"/>
        <w:gridCol w:w="1025"/>
        <w:gridCol w:w="5270"/>
      </w:tblGrid>
      <w:tr w:rsidR="00F86F16" w:rsidRPr="00EE4520" w14:paraId="58AFD6EA" w14:textId="77777777" w:rsidTr="00EE4520">
        <w:tc>
          <w:tcPr>
            <w:tcW w:w="2943" w:type="dxa"/>
            <w:tcBorders>
              <w:top w:val="single" w:sz="4" w:space="0" w:color="auto"/>
              <w:left w:val="single" w:sz="4" w:space="0" w:color="auto"/>
              <w:bottom w:val="single" w:sz="4" w:space="0" w:color="auto"/>
              <w:right w:val="single" w:sz="4" w:space="0" w:color="auto"/>
            </w:tcBorders>
            <w:hideMark/>
          </w:tcPr>
          <w:p w14:paraId="2D19921B" w14:textId="493F9526" w:rsidR="00F86F16" w:rsidRPr="00EE4520" w:rsidRDefault="00EE4520">
            <w:pPr>
              <w:spacing w:after="0" w:line="240" w:lineRule="auto"/>
              <w:jc w:val="center"/>
              <w:rPr>
                <w:b/>
                <w:i/>
                <w:iCs/>
              </w:rPr>
            </w:pPr>
            <w:r>
              <w:rPr>
                <w:b/>
                <w:i/>
                <w:iCs/>
              </w:rPr>
              <w:t>É</w:t>
            </w:r>
            <w:r w:rsidR="00F86F16" w:rsidRPr="00EE4520">
              <w:rPr>
                <w:b/>
                <w:i/>
                <w:iCs/>
              </w:rPr>
              <w:t>léments</w:t>
            </w:r>
          </w:p>
        </w:tc>
        <w:tc>
          <w:tcPr>
            <w:tcW w:w="851" w:type="dxa"/>
            <w:tcBorders>
              <w:top w:val="single" w:sz="4" w:space="0" w:color="auto"/>
              <w:left w:val="single" w:sz="4" w:space="0" w:color="auto"/>
              <w:bottom w:val="single" w:sz="4" w:space="0" w:color="auto"/>
              <w:right w:val="single" w:sz="4" w:space="0" w:color="auto"/>
            </w:tcBorders>
            <w:hideMark/>
          </w:tcPr>
          <w:p w14:paraId="4906D51F" w14:textId="77777777" w:rsidR="00F86F16" w:rsidRPr="00EE4520" w:rsidRDefault="00F86F16">
            <w:pPr>
              <w:spacing w:after="0" w:line="240" w:lineRule="auto"/>
              <w:jc w:val="center"/>
              <w:rPr>
                <w:b/>
                <w:i/>
                <w:iCs/>
              </w:rPr>
            </w:pPr>
            <w:r w:rsidRPr="00EE4520">
              <w:rPr>
                <w:b/>
                <w:i/>
                <w:iCs/>
              </w:rPr>
              <w:t>Montant</w:t>
            </w:r>
          </w:p>
        </w:tc>
        <w:tc>
          <w:tcPr>
            <w:tcW w:w="5270" w:type="dxa"/>
            <w:tcBorders>
              <w:top w:val="single" w:sz="4" w:space="0" w:color="auto"/>
              <w:left w:val="single" w:sz="4" w:space="0" w:color="auto"/>
              <w:bottom w:val="single" w:sz="4" w:space="0" w:color="auto"/>
              <w:right w:val="single" w:sz="4" w:space="0" w:color="auto"/>
            </w:tcBorders>
            <w:hideMark/>
          </w:tcPr>
          <w:p w14:paraId="262AF2C3" w14:textId="2E81B964" w:rsidR="00F86F16" w:rsidRPr="00EE4520" w:rsidRDefault="00F86F16">
            <w:pPr>
              <w:spacing w:after="0" w:line="240" w:lineRule="auto"/>
              <w:jc w:val="center"/>
              <w:rPr>
                <w:b/>
                <w:i/>
                <w:iCs/>
              </w:rPr>
            </w:pPr>
            <w:r w:rsidRPr="00EE4520">
              <w:rPr>
                <w:b/>
                <w:i/>
                <w:iCs/>
              </w:rPr>
              <w:t>Détail des calculs</w:t>
            </w:r>
          </w:p>
        </w:tc>
      </w:tr>
      <w:tr w:rsidR="00F86F16" w:rsidRPr="00EE4520" w14:paraId="06C678A7" w14:textId="77777777" w:rsidTr="00EE4520">
        <w:tc>
          <w:tcPr>
            <w:tcW w:w="2943" w:type="dxa"/>
            <w:tcBorders>
              <w:top w:val="single" w:sz="4" w:space="0" w:color="auto"/>
              <w:left w:val="single" w:sz="4" w:space="0" w:color="auto"/>
              <w:bottom w:val="single" w:sz="4" w:space="0" w:color="auto"/>
              <w:right w:val="single" w:sz="4" w:space="0" w:color="auto"/>
            </w:tcBorders>
            <w:hideMark/>
          </w:tcPr>
          <w:p w14:paraId="6CD4B210" w14:textId="77777777" w:rsidR="00F86F16" w:rsidRPr="00EE4520" w:rsidRDefault="00F86F16">
            <w:pPr>
              <w:spacing w:after="0" w:line="240" w:lineRule="auto"/>
              <w:rPr>
                <w:i/>
                <w:iCs/>
              </w:rPr>
            </w:pPr>
            <w:r w:rsidRPr="00EE4520">
              <w:rPr>
                <w:i/>
                <w:iCs/>
              </w:rPr>
              <w:t>Résultat de l’exercice</w:t>
            </w:r>
          </w:p>
        </w:tc>
        <w:tc>
          <w:tcPr>
            <w:tcW w:w="851" w:type="dxa"/>
            <w:tcBorders>
              <w:top w:val="single" w:sz="4" w:space="0" w:color="auto"/>
              <w:left w:val="single" w:sz="4" w:space="0" w:color="auto"/>
              <w:bottom w:val="single" w:sz="4" w:space="0" w:color="auto"/>
              <w:right w:val="single" w:sz="4" w:space="0" w:color="auto"/>
            </w:tcBorders>
            <w:hideMark/>
          </w:tcPr>
          <w:p w14:paraId="36BFEE99" w14:textId="77777777" w:rsidR="00F86F16" w:rsidRPr="00EE4520" w:rsidRDefault="00F86F16">
            <w:pPr>
              <w:spacing w:after="0" w:line="240" w:lineRule="auto"/>
              <w:jc w:val="right"/>
              <w:rPr>
                <w:i/>
                <w:iCs/>
              </w:rPr>
            </w:pPr>
            <w:r w:rsidRPr="00EE4520">
              <w:rPr>
                <w:i/>
                <w:iCs/>
              </w:rPr>
              <w:t>60 000</w:t>
            </w:r>
          </w:p>
        </w:tc>
        <w:tc>
          <w:tcPr>
            <w:tcW w:w="5270" w:type="dxa"/>
            <w:tcBorders>
              <w:top w:val="single" w:sz="4" w:space="0" w:color="auto"/>
              <w:left w:val="single" w:sz="4" w:space="0" w:color="auto"/>
              <w:bottom w:val="single" w:sz="4" w:space="0" w:color="auto"/>
              <w:right w:val="single" w:sz="4" w:space="0" w:color="auto"/>
            </w:tcBorders>
          </w:tcPr>
          <w:p w14:paraId="7C3134E0" w14:textId="77777777" w:rsidR="00F86F16" w:rsidRPr="00EE4520" w:rsidRDefault="00F86F16">
            <w:pPr>
              <w:spacing w:after="0" w:line="240" w:lineRule="auto"/>
              <w:rPr>
                <w:i/>
                <w:iCs/>
              </w:rPr>
            </w:pPr>
          </w:p>
        </w:tc>
      </w:tr>
      <w:tr w:rsidR="00F86F16" w:rsidRPr="00EE4520" w14:paraId="6DEB56BA" w14:textId="77777777" w:rsidTr="00EE4520">
        <w:tc>
          <w:tcPr>
            <w:tcW w:w="2943" w:type="dxa"/>
            <w:tcBorders>
              <w:top w:val="single" w:sz="4" w:space="0" w:color="auto"/>
              <w:left w:val="single" w:sz="4" w:space="0" w:color="auto"/>
              <w:bottom w:val="single" w:sz="4" w:space="0" w:color="auto"/>
              <w:right w:val="single" w:sz="4" w:space="0" w:color="auto"/>
            </w:tcBorders>
            <w:hideMark/>
          </w:tcPr>
          <w:p w14:paraId="070F5B24" w14:textId="6EBBCE32" w:rsidR="00F86F16" w:rsidRPr="00EE4520" w:rsidRDefault="00F86F16">
            <w:pPr>
              <w:spacing w:after="0" w:line="240" w:lineRule="auto"/>
              <w:rPr>
                <w:i/>
                <w:iCs/>
              </w:rPr>
            </w:pPr>
            <w:r w:rsidRPr="00EE4520">
              <w:rPr>
                <w:i/>
                <w:iCs/>
              </w:rPr>
              <w:t>Report à nouveau N</w:t>
            </w:r>
            <w:r w:rsidR="00EE4520">
              <w:rPr>
                <w:i/>
                <w:iCs/>
              </w:rPr>
              <w:t>-</w:t>
            </w:r>
            <w:r w:rsidRPr="00EE4520">
              <w:rPr>
                <w:i/>
                <w:iCs/>
              </w:rPr>
              <w:t>1</w:t>
            </w:r>
          </w:p>
        </w:tc>
        <w:tc>
          <w:tcPr>
            <w:tcW w:w="851" w:type="dxa"/>
            <w:tcBorders>
              <w:top w:val="single" w:sz="4" w:space="0" w:color="auto"/>
              <w:left w:val="single" w:sz="4" w:space="0" w:color="auto"/>
              <w:bottom w:val="single" w:sz="4" w:space="0" w:color="auto"/>
              <w:right w:val="single" w:sz="4" w:space="0" w:color="auto"/>
            </w:tcBorders>
            <w:hideMark/>
          </w:tcPr>
          <w:p w14:paraId="73281797" w14:textId="77777777" w:rsidR="00F86F16" w:rsidRPr="00EE4520" w:rsidRDefault="00F86F16">
            <w:pPr>
              <w:spacing w:after="0" w:line="240" w:lineRule="auto"/>
              <w:jc w:val="right"/>
              <w:rPr>
                <w:i/>
                <w:iCs/>
              </w:rPr>
            </w:pPr>
            <w:r w:rsidRPr="00EE4520">
              <w:rPr>
                <w:i/>
                <w:iCs/>
              </w:rPr>
              <w:t>1 200</w:t>
            </w:r>
          </w:p>
        </w:tc>
        <w:tc>
          <w:tcPr>
            <w:tcW w:w="5270" w:type="dxa"/>
            <w:tcBorders>
              <w:top w:val="single" w:sz="4" w:space="0" w:color="auto"/>
              <w:left w:val="single" w:sz="4" w:space="0" w:color="auto"/>
              <w:bottom w:val="single" w:sz="4" w:space="0" w:color="auto"/>
              <w:right w:val="single" w:sz="4" w:space="0" w:color="auto"/>
            </w:tcBorders>
          </w:tcPr>
          <w:p w14:paraId="641DFFCD" w14:textId="77777777" w:rsidR="00F86F16" w:rsidRPr="00EE4520" w:rsidRDefault="00F86F16">
            <w:pPr>
              <w:spacing w:after="0" w:line="240" w:lineRule="auto"/>
              <w:rPr>
                <w:i/>
                <w:iCs/>
              </w:rPr>
            </w:pPr>
          </w:p>
        </w:tc>
      </w:tr>
      <w:tr w:rsidR="00F86F16" w:rsidRPr="00EE4520" w14:paraId="5E081B74" w14:textId="77777777" w:rsidTr="00EE4520">
        <w:tc>
          <w:tcPr>
            <w:tcW w:w="2943" w:type="dxa"/>
            <w:tcBorders>
              <w:top w:val="single" w:sz="4" w:space="0" w:color="auto"/>
              <w:left w:val="single" w:sz="4" w:space="0" w:color="auto"/>
              <w:bottom w:val="single" w:sz="4" w:space="0" w:color="auto"/>
              <w:right w:val="single" w:sz="4" w:space="0" w:color="auto"/>
            </w:tcBorders>
            <w:vAlign w:val="center"/>
            <w:hideMark/>
          </w:tcPr>
          <w:p w14:paraId="786B160D" w14:textId="77777777" w:rsidR="00F86F16" w:rsidRPr="00EE4520" w:rsidRDefault="00F86F16">
            <w:pPr>
              <w:spacing w:after="0" w:line="240" w:lineRule="auto"/>
              <w:rPr>
                <w:i/>
                <w:iCs/>
              </w:rPr>
            </w:pPr>
            <w:r w:rsidRPr="00EE4520">
              <w:rPr>
                <w:i/>
                <w:iCs/>
              </w:rPr>
              <w:t>Dotation à la réserve légale</w:t>
            </w:r>
          </w:p>
        </w:tc>
        <w:tc>
          <w:tcPr>
            <w:tcW w:w="851" w:type="dxa"/>
            <w:tcBorders>
              <w:top w:val="single" w:sz="4" w:space="0" w:color="auto"/>
              <w:left w:val="single" w:sz="4" w:space="0" w:color="auto"/>
              <w:bottom w:val="single" w:sz="4" w:space="0" w:color="auto"/>
              <w:right w:val="single" w:sz="4" w:space="0" w:color="auto"/>
            </w:tcBorders>
            <w:vAlign w:val="center"/>
            <w:hideMark/>
          </w:tcPr>
          <w:p w14:paraId="3F39F3EC" w14:textId="77777777" w:rsidR="00F86F16" w:rsidRPr="00EE4520" w:rsidRDefault="00F86F16">
            <w:pPr>
              <w:spacing w:after="0" w:line="240" w:lineRule="auto"/>
              <w:jc w:val="right"/>
              <w:rPr>
                <w:i/>
                <w:iCs/>
              </w:rPr>
            </w:pPr>
            <w:r w:rsidRPr="00EE4520">
              <w:rPr>
                <w:i/>
                <w:iCs/>
              </w:rPr>
              <w:t xml:space="preserve">200 </w:t>
            </w:r>
          </w:p>
        </w:tc>
        <w:tc>
          <w:tcPr>
            <w:tcW w:w="5270" w:type="dxa"/>
            <w:tcBorders>
              <w:top w:val="single" w:sz="4" w:space="0" w:color="auto"/>
              <w:left w:val="single" w:sz="4" w:space="0" w:color="auto"/>
              <w:bottom w:val="single" w:sz="4" w:space="0" w:color="auto"/>
              <w:right w:val="single" w:sz="4" w:space="0" w:color="auto"/>
            </w:tcBorders>
            <w:hideMark/>
          </w:tcPr>
          <w:p w14:paraId="2D4F80AC" w14:textId="77777777" w:rsidR="00F86F16" w:rsidRPr="00EE4520" w:rsidRDefault="00F86F16">
            <w:pPr>
              <w:spacing w:after="0" w:line="240" w:lineRule="auto"/>
              <w:rPr>
                <w:i/>
                <w:iCs/>
              </w:rPr>
            </w:pPr>
            <w:r w:rsidRPr="00EE4520">
              <w:rPr>
                <w:i/>
                <w:iCs/>
              </w:rPr>
              <w:t>( = 5 000 – 4 800 car 120 000 x 5 % = 6 000 et cela porterait la réserve légale à 14 800 + 6 000 soit 14 000€ et la limite est de 50 000 x 10 % soit 5 000)</w:t>
            </w:r>
          </w:p>
        </w:tc>
      </w:tr>
      <w:tr w:rsidR="00F86F16" w:rsidRPr="00EE4520" w14:paraId="77016879" w14:textId="77777777" w:rsidTr="00EE4520">
        <w:tc>
          <w:tcPr>
            <w:tcW w:w="2943" w:type="dxa"/>
            <w:tcBorders>
              <w:top w:val="single" w:sz="4" w:space="0" w:color="auto"/>
              <w:left w:val="single" w:sz="4" w:space="0" w:color="auto"/>
              <w:bottom w:val="single" w:sz="4" w:space="0" w:color="auto"/>
              <w:right w:val="single" w:sz="4" w:space="0" w:color="auto"/>
            </w:tcBorders>
            <w:hideMark/>
          </w:tcPr>
          <w:p w14:paraId="78120A3A" w14:textId="77777777" w:rsidR="00F86F16" w:rsidRPr="00EE4520" w:rsidRDefault="00F86F16">
            <w:pPr>
              <w:spacing w:after="0" w:line="240" w:lineRule="auto"/>
              <w:rPr>
                <w:i/>
                <w:iCs/>
              </w:rPr>
            </w:pPr>
            <w:r w:rsidRPr="00EE4520">
              <w:rPr>
                <w:i/>
                <w:iCs/>
              </w:rPr>
              <w:lastRenderedPageBreak/>
              <w:t>Bénéfice distribuable</w:t>
            </w:r>
          </w:p>
        </w:tc>
        <w:tc>
          <w:tcPr>
            <w:tcW w:w="851" w:type="dxa"/>
            <w:tcBorders>
              <w:top w:val="single" w:sz="4" w:space="0" w:color="auto"/>
              <w:left w:val="single" w:sz="4" w:space="0" w:color="auto"/>
              <w:bottom w:val="single" w:sz="4" w:space="0" w:color="auto"/>
              <w:right w:val="single" w:sz="4" w:space="0" w:color="auto"/>
            </w:tcBorders>
            <w:hideMark/>
          </w:tcPr>
          <w:p w14:paraId="671F5226" w14:textId="77777777" w:rsidR="00F86F16" w:rsidRPr="00EE4520" w:rsidRDefault="00F86F16">
            <w:pPr>
              <w:spacing w:after="0" w:line="240" w:lineRule="auto"/>
              <w:jc w:val="right"/>
              <w:rPr>
                <w:i/>
                <w:iCs/>
              </w:rPr>
            </w:pPr>
            <w:r w:rsidRPr="00EE4520">
              <w:rPr>
                <w:i/>
                <w:iCs/>
              </w:rPr>
              <w:t>61 000</w:t>
            </w:r>
          </w:p>
        </w:tc>
        <w:tc>
          <w:tcPr>
            <w:tcW w:w="5270" w:type="dxa"/>
            <w:tcBorders>
              <w:top w:val="single" w:sz="4" w:space="0" w:color="auto"/>
              <w:left w:val="single" w:sz="4" w:space="0" w:color="auto"/>
              <w:bottom w:val="single" w:sz="4" w:space="0" w:color="auto"/>
              <w:right w:val="single" w:sz="4" w:space="0" w:color="auto"/>
            </w:tcBorders>
            <w:hideMark/>
          </w:tcPr>
          <w:p w14:paraId="379F580B" w14:textId="77777777" w:rsidR="00F86F16" w:rsidRPr="00EE4520" w:rsidRDefault="00F86F16">
            <w:pPr>
              <w:spacing w:after="0" w:line="240" w:lineRule="auto"/>
              <w:rPr>
                <w:i/>
                <w:iCs/>
              </w:rPr>
            </w:pPr>
            <w:r w:rsidRPr="00EE4520">
              <w:rPr>
                <w:i/>
                <w:iCs/>
              </w:rPr>
              <w:t>= 60 000 + 1 200 - 200</w:t>
            </w:r>
          </w:p>
        </w:tc>
      </w:tr>
      <w:tr w:rsidR="00F86F16" w:rsidRPr="00EE4520" w14:paraId="74F831A7" w14:textId="77777777" w:rsidTr="00EE4520">
        <w:tc>
          <w:tcPr>
            <w:tcW w:w="2943" w:type="dxa"/>
            <w:tcBorders>
              <w:top w:val="single" w:sz="4" w:space="0" w:color="auto"/>
              <w:left w:val="single" w:sz="4" w:space="0" w:color="auto"/>
              <w:bottom w:val="single" w:sz="4" w:space="0" w:color="auto"/>
              <w:right w:val="single" w:sz="4" w:space="0" w:color="auto"/>
            </w:tcBorders>
            <w:hideMark/>
          </w:tcPr>
          <w:p w14:paraId="0C11D8EE" w14:textId="77777777" w:rsidR="00F86F16" w:rsidRPr="00EE4520" w:rsidRDefault="00F86F16">
            <w:pPr>
              <w:spacing w:after="0" w:line="240" w:lineRule="auto"/>
              <w:rPr>
                <w:i/>
                <w:iCs/>
              </w:rPr>
            </w:pPr>
            <w:r w:rsidRPr="00EE4520">
              <w:rPr>
                <w:i/>
                <w:iCs/>
              </w:rPr>
              <w:t>Réserve statutaire</w:t>
            </w:r>
          </w:p>
        </w:tc>
        <w:tc>
          <w:tcPr>
            <w:tcW w:w="851" w:type="dxa"/>
            <w:tcBorders>
              <w:top w:val="single" w:sz="4" w:space="0" w:color="auto"/>
              <w:left w:val="single" w:sz="4" w:space="0" w:color="auto"/>
              <w:bottom w:val="single" w:sz="4" w:space="0" w:color="auto"/>
              <w:right w:val="single" w:sz="4" w:space="0" w:color="auto"/>
            </w:tcBorders>
            <w:hideMark/>
          </w:tcPr>
          <w:p w14:paraId="23BBD663" w14:textId="77777777" w:rsidR="00F86F16" w:rsidRPr="00EE4520" w:rsidRDefault="00F86F16">
            <w:pPr>
              <w:spacing w:after="0" w:line="240" w:lineRule="auto"/>
              <w:jc w:val="right"/>
              <w:rPr>
                <w:i/>
                <w:iCs/>
              </w:rPr>
            </w:pPr>
            <w:r w:rsidRPr="00EE4520">
              <w:rPr>
                <w:i/>
                <w:iCs/>
              </w:rPr>
              <w:t>12 500</w:t>
            </w:r>
          </w:p>
        </w:tc>
        <w:tc>
          <w:tcPr>
            <w:tcW w:w="5270" w:type="dxa"/>
            <w:tcBorders>
              <w:top w:val="single" w:sz="4" w:space="0" w:color="auto"/>
              <w:left w:val="single" w:sz="4" w:space="0" w:color="auto"/>
              <w:bottom w:val="single" w:sz="4" w:space="0" w:color="auto"/>
              <w:right w:val="single" w:sz="4" w:space="0" w:color="auto"/>
            </w:tcBorders>
            <w:hideMark/>
          </w:tcPr>
          <w:p w14:paraId="781C6915" w14:textId="77777777" w:rsidR="00F86F16" w:rsidRPr="00EE4520" w:rsidRDefault="00F86F16">
            <w:pPr>
              <w:spacing w:after="0" w:line="240" w:lineRule="auto"/>
              <w:rPr>
                <w:i/>
                <w:iCs/>
              </w:rPr>
            </w:pPr>
            <w:r w:rsidRPr="00EE4520">
              <w:rPr>
                <w:i/>
                <w:iCs/>
              </w:rPr>
              <w:t>= 50 000 x 25 %</w:t>
            </w:r>
          </w:p>
        </w:tc>
      </w:tr>
      <w:tr w:rsidR="00F86F16" w:rsidRPr="00EE4520" w14:paraId="00C00794" w14:textId="77777777" w:rsidTr="00EE4520">
        <w:tc>
          <w:tcPr>
            <w:tcW w:w="2943" w:type="dxa"/>
            <w:tcBorders>
              <w:top w:val="single" w:sz="4" w:space="0" w:color="auto"/>
              <w:left w:val="single" w:sz="4" w:space="0" w:color="auto"/>
              <w:bottom w:val="single" w:sz="4" w:space="0" w:color="auto"/>
              <w:right w:val="single" w:sz="4" w:space="0" w:color="auto"/>
            </w:tcBorders>
            <w:hideMark/>
          </w:tcPr>
          <w:p w14:paraId="7095CA94" w14:textId="77777777" w:rsidR="00F86F16" w:rsidRPr="00EE4520" w:rsidRDefault="00F86F16">
            <w:pPr>
              <w:spacing w:after="0" w:line="240" w:lineRule="auto"/>
              <w:rPr>
                <w:i/>
                <w:iCs/>
              </w:rPr>
            </w:pPr>
            <w:r w:rsidRPr="00EE4520">
              <w:rPr>
                <w:i/>
                <w:iCs/>
              </w:rPr>
              <w:t>Intérêt statutaire (1)</w:t>
            </w:r>
          </w:p>
        </w:tc>
        <w:tc>
          <w:tcPr>
            <w:tcW w:w="851" w:type="dxa"/>
            <w:tcBorders>
              <w:top w:val="single" w:sz="4" w:space="0" w:color="auto"/>
              <w:left w:val="single" w:sz="4" w:space="0" w:color="auto"/>
              <w:bottom w:val="single" w:sz="4" w:space="0" w:color="auto"/>
              <w:right w:val="single" w:sz="4" w:space="0" w:color="auto"/>
            </w:tcBorders>
            <w:hideMark/>
          </w:tcPr>
          <w:p w14:paraId="3D8973CC" w14:textId="77777777" w:rsidR="00F86F16" w:rsidRPr="00EE4520" w:rsidRDefault="00F86F16">
            <w:pPr>
              <w:spacing w:after="0" w:line="240" w:lineRule="auto"/>
              <w:jc w:val="right"/>
              <w:rPr>
                <w:i/>
                <w:iCs/>
              </w:rPr>
            </w:pPr>
            <w:r w:rsidRPr="00EE4520">
              <w:rPr>
                <w:i/>
                <w:iCs/>
              </w:rPr>
              <w:t>10 000</w:t>
            </w:r>
          </w:p>
        </w:tc>
        <w:tc>
          <w:tcPr>
            <w:tcW w:w="5270" w:type="dxa"/>
            <w:tcBorders>
              <w:top w:val="single" w:sz="4" w:space="0" w:color="auto"/>
              <w:left w:val="single" w:sz="4" w:space="0" w:color="auto"/>
              <w:bottom w:val="single" w:sz="4" w:space="0" w:color="auto"/>
              <w:right w:val="single" w:sz="4" w:space="0" w:color="auto"/>
            </w:tcBorders>
            <w:hideMark/>
          </w:tcPr>
          <w:p w14:paraId="5D2C1F77" w14:textId="77777777" w:rsidR="00F86F16" w:rsidRPr="00EE4520" w:rsidRDefault="00F86F16">
            <w:pPr>
              <w:spacing w:after="0" w:line="240" w:lineRule="auto"/>
              <w:rPr>
                <w:i/>
                <w:iCs/>
              </w:rPr>
            </w:pPr>
            <w:r w:rsidRPr="00EE4520">
              <w:rPr>
                <w:i/>
                <w:iCs/>
              </w:rPr>
              <w:t>= 50 000 x 10 %</w:t>
            </w:r>
          </w:p>
        </w:tc>
      </w:tr>
      <w:tr w:rsidR="00F86F16" w:rsidRPr="00EE4520" w14:paraId="62B76C82" w14:textId="77777777" w:rsidTr="00EE4520">
        <w:tc>
          <w:tcPr>
            <w:tcW w:w="2943" w:type="dxa"/>
            <w:tcBorders>
              <w:top w:val="single" w:sz="4" w:space="0" w:color="auto"/>
              <w:left w:val="single" w:sz="4" w:space="0" w:color="auto"/>
              <w:bottom w:val="single" w:sz="4" w:space="0" w:color="auto"/>
              <w:right w:val="single" w:sz="4" w:space="0" w:color="auto"/>
            </w:tcBorders>
            <w:hideMark/>
          </w:tcPr>
          <w:p w14:paraId="61EF6918" w14:textId="77777777" w:rsidR="00F86F16" w:rsidRPr="00EE4520" w:rsidRDefault="00F86F16">
            <w:pPr>
              <w:spacing w:after="0" w:line="240" w:lineRule="auto"/>
              <w:rPr>
                <w:i/>
                <w:iCs/>
              </w:rPr>
            </w:pPr>
            <w:r w:rsidRPr="00EE4520">
              <w:rPr>
                <w:i/>
                <w:iCs/>
              </w:rPr>
              <w:t>Réserve facultative (2)</w:t>
            </w:r>
          </w:p>
        </w:tc>
        <w:tc>
          <w:tcPr>
            <w:tcW w:w="851" w:type="dxa"/>
            <w:tcBorders>
              <w:top w:val="single" w:sz="4" w:space="0" w:color="auto"/>
              <w:left w:val="single" w:sz="4" w:space="0" w:color="auto"/>
              <w:bottom w:val="single" w:sz="4" w:space="0" w:color="auto"/>
              <w:right w:val="single" w:sz="4" w:space="0" w:color="auto"/>
            </w:tcBorders>
            <w:hideMark/>
          </w:tcPr>
          <w:p w14:paraId="389F9DA1" w14:textId="77777777" w:rsidR="00F86F16" w:rsidRPr="00EE4520" w:rsidRDefault="00F86F16">
            <w:pPr>
              <w:spacing w:after="0" w:line="240" w:lineRule="auto"/>
              <w:jc w:val="right"/>
              <w:rPr>
                <w:i/>
                <w:iCs/>
              </w:rPr>
            </w:pPr>
            <w:r w:rsidRPr="00EE4520">
              <w:rPr>
                <w:i/>
                <w:iCs/>
              </w:rPr>
              <w:t>25 000</w:t>
            </w:r>
          </w:p>
        </w:tc>
        <w:tc>
          <w:tcPr>
            <w:tcW w:w="5270" w:type="dxa"/>
            <w:tcBorders>
              <w:top w:val="single" w:sz="4" w:space="0" w:color="auto"/>
              <w:left w:val="single" w:sz="4" w:space="0" w:color="auto"/>
              <w:bottom w:val="single" w:sz="4" w:space="0" w:color="auto"/>
              <w:right w:val="single" w:sz="4" w:space="0" w:color="auto"/>
            </w:tcBorders>
            <w:hideMark/>
          </w:tcPr>
          <w:p w14:paraId="5E6EFB9C" w14:textId="77777777" w:rsidR="00F86F16" w:rsidRPr="00EE4520" w:rsidRDefault="00F86F16">
            <w:pPr>
              <w:spacing w:after="0" w:line="240" w:lineRule="auto"/>
              <w:rPr>
                <w:i/>
                <w:iCs/>
              </w:rPr>
            </w:pPr>
            <w:r w:rsidRPr="00EE4520">
              <w:rPr>
                <w:i/>
                <w:iCs/>
              </w:rPr>
              <w:t>Donnée de l’énoncé</w:t>
            </w:r>
          </w:p>
        </w:tc>
      </w:tr>
      <w:tr w:rsidR="00F86F16" w:rsidRPr="00EE4520" w14:paraId="4686CE68" w14:textId="77777777" w:rsidTr="00EE4520">
        <w:tc>
          <w:tcPr>
            <w:tcW w:w="2943" w:type="dxa"/>
            <w:tcBorders>
              <w:top w:val="single" w:sz="4" w:space="0" w:color="auto"/>
              <w:left w:val="single" w:sz="4" w:space="0" w:color="auto"/>
              <w:bottom w:val="single" w:sz="4" w:space="0" w:color="auto"/>
              <w:right w:val="single" w:sz="4" w:space="0" w:color="auto"/>
            </w:tcBorders>
            <w:hideMark/>
          </w:tcPr>
          <w:p w14:paraId="31CA9317" w14:textId="77777777" w:rsidR="00F86F16" w:rsidRPr="00EE4520" w:rsidRDefault="00F86F16">
            <w:pPr>
              <w:spacing w:after="0" w:line="240" w:lineRule="auto"/>
              <w:rPr>
                <w:i/>
                <w:iCs/>
              </w:rPr>
            </w:pPr>
            <w:r w:rsidRPr="00EE4520">
              <w:rPr>
                <w:i/>
                <w:iCs/>
              </w:rPr>
              <w:t>Superdividende (3)</w:t>
            </w:r>
          </w:p>
        </w:tc>
        <w:tc>
          <w:tcPr>
            <w:tcW w:w="851" w:type="dxa"/>
            <w:tcBorders>
              <w:top w:val="single" w:sz="4" w:space="0" w:color="auto"/>
              <w:left w:val="single" w:sz="4" w:space="0" w:color="auto"/>
              <w:bottom w:val="single" w:sz="4" w:space="0" w:color="auto"/>
              <w:right w:val="single" w:sz="4" w:space="0" w:color="auto"/>
            </w:tcBorders>
            <w:hideMark/>
          </w:tcPr>
          <w:p w14:paraId="4379A75B" w14:textId="77777777" w:rsidR="00F86F16" w:rsidRPr="00EE4520" w:rsidRDefault="00F86F16">
            <w:pPr>
              <w:spacing w:after="0" w:line="240" w:lineRule="auto"/>
              <w:jc w:val="right"/>
              <w:rPr>
                <w:i/>
                <w:iCs/>
              </w:rPr>
            </w:pPr>
            <w:r w:rsidRPr="00EE4520">
              <w:rPr>
                <w:i/>
                <w:iCs/>
              </w:rPr>
              <w:t>8 000</w:t>
            </w:r>
          </w:p>
        </w:tc>
        <w:tc>
          <w:tcPr>
            <w:tcW w:w="5270" w:type="dxa"/>
            <w:tcBorders>
              <w:top w:val="single" w:sz="4" w:space="0" w:color="auto"/>
              <w:left w:val="single" w:sz="4" w:space="0" w:color="auto"/>
              <w:bottom w:val="single" w:sz="4" w:space="0" w:color="auto"/>
              <w:right w:val="single" w:sz="4" w:space="0" w:color="auto"/>
            </w:tcBorders>
            <w:hideMark/>
          </w:tcPr>
          <w:p w14:paraId="2D162B45" w14:textId="77777777" w:rsidR="00F86F16" w:rsidRPr="00EE4520" w:rsidRDefault="00F86F16">
            <w:pPr>
              <w:spacing w:after="0" w:line="240" w:lineRule="auto"/>
              <w:rPr>
                <w:i/>
                <w:iCs/>
              </w:rPr>
            </w:pPr>
            <w:r w:rsidRPr="00EE4520">
              <w:rPr>
                <w:i/>
                <w:iCs/>
              </w:rPr>
              <w:t>= 8 x 1 000</w:t>
            </w:r>
          </w:p>
        </w:tc>
      </w:tr>
      <w:tr w:rsidR="00F86F16" w:rsidRPr="00EE4520" w14:paraId="1E798FBA" w14:textId="77777777" w:rsidTr="00EE4520">
        <w:tc>
          <w:tcPr>
            <w:tcW w:w="2943" w:type="dxa"/>
            <w:tcBorders>
              <w:top w:val="single" w:sz="4" w:space="0" w:color="auto"/>
              <w:left w:val="single" w:sz="4" w:space="0" w:color="auto"/>
              <w:bottom w:val="single" w:sz="4" w:space="0" w:color="auto"/>
              <w:right w:val="single" w:sz="4" w:space="0" w:color="auto"/>
            </w:tcBorders>
            <w:hideMark/>
          </w:tcPr>
          <w:p w14:paraId="3CA94B8A" w14:textId="77777777" w:rsidR="00F86F16" w:rsidRPr="00EE4520" w:rsidRDefault="00F86F16">
            <w:pPr>
              <w:spacing w:after="0" w:line="240" w:lineRule="auto"/>
              <w:rPr>
                <w:i/>
                <w:iCs/>
              </w:rPr>
            </w:pPr>
            <w:r w:rsidRPr="00EE4520">
              <w:rPr>
                <w:i/>
                <w:iCs/>
              </w:rPr>
              <w:t>Report à nouveau N</w:t>
            </w:r>
          </w:p>
        </w:tc>
        <w:tc>
          <w:tcPr>
            <w:tcW w:w="851" w:type="dxa"/>
            <w:tcBorders>
              <w:top w:val="single" w:sz="4" w:space="0" w:color="auto"/>
              <w:left w:val="single" w:sz="4" w:space="0" w:color="auto"/>
              <w:bottom w:val="single" w:sz="4" w:space="0" w:color="auto"/>
              <w:right w:val="single" w:sz="4" w:space="0" w:color="auto"/>
            </w:tcBorders>
            <w:hideMark/>
          </w:tcPr>
          <w:p w14:paraId="45C3CC37" w14:textId="77777777" w:rsidR="00F86F16" w:rsidRPr="00EE4520" w:rsidRDefault="00F86F16">
            <w:pPr>
              <w:spacing w:after="0" w:line="240" w:lineRule="auto"/>
              <w:jc w:val="right"/>
              <w:rPr>
                <w:i/>
                <w:iCs/>
              </w:rPr>
            </w:pPr>
            <w:r w:rsidRPr="00EE4520">
              <w:rPr>
                <w:i/>
                <w:iCs/>
              </w:rPr>
              <w:t>5 500</w:t>
            </w:r>
          </w:p>
        </w:tc>
        <w:tc>
          <w:tcPr>
            <w:tcW w:w="5270" w:type="dxa"/>
            <w:tcBorders>
              <w:top w:val="single" w:sz="4" w:space="0" w:color="auto"/>
              <w:left w:val="single" w:sz="4" w:space="0" w:color="auto"/>
              <w:bottom w:val="single" w:sz="4" w:space="0" w:color="auto"/>
              <w:right w:val="single" w:sz="4" w:space="0" w:color="auto"/>
            </w:tcBorders>
            <w:hideMark/>
          </w:tcPr>
          <w:p w14:paraId="037E4715" w14:textId="77777777" w:rsidR="00F86F16" w:rsidRPr="00EE4520" w:rsidRDefault="00F86F16">
            <w:pPr>
              <w:spacing w:after="0" w:line="240" w:lineRule="auto"/>
              <w:rPr>
                <w:i/>
                <w:iCs/>
              </w:rPr>
            </w:pPr>
            <w:r w:rsidRPr="00EE4520">
              <w:rPr>
                <w:i/>
                <w:iCs/>
              </w:rPr>
              <w:t>= 61 000 – 12 500 – 10 000 – 25 000 – 8 000</w:t>
            </w:r>
          </w:p>
        </w:tc>
      </w:tr>
    </w:tbl>
    <w:p w14:paraId="388B94A8" w14:textId="77777777" w:rsidR="00F86F16" w:rsidRDefault="00F86F16" w:rsidP="00F86F16">
      <w:pPr>
        <w:spacing w:after="0"/>
        <w:rPr>
          <w:rFonts w:cstheme="minorBidi"/>
        </w:rPr>
      </w:pPr>
    </w:p>
    <w:p w14:paraId="5DD2D2D0" w14:textId="77777777" w:rsidR="00F86F16" w:rsidRDefault="00F86F16" w:rsidP="00385E02">
      <w:pPr>
        <w:pStyle w:val="Titre3"/>
      </w:pPr>
      <w:r>
        <w:t>La comptabilisation de l’affectation du résultat</w:t>
      </w:r>
    </w:p>
    <w:p w14:paraId="7BEE50F9" w14:textId="77777777" w:rsidR="00F86F16" w:rsidRDefault="00F86F16" w:rsidP="00F86F16">
      <w:r>
        <w:t>Après adoption du projet de répartition du résultat, il faut procéder à l’enregistrement comptable de cette affectation. Les comptes 120 Résultat de l’exercice doit être soldé et les autres comptes de capitaux et des associés mis à jour pour tenir compte de ce qui a été décidé en AGO.</w:t>
      </w:r>
    </w:p>
    <w:p w14:paraId="00A55161" w14:textId="10A9A532" w:rsidR="00F86F16" w:rsidRPr="00CD201A" w:rsidRDefault="00CD201A" w:rsidP="00F86F16">
      <w:pPr>
        <w:rPr>
          <w:i/>
          <w:iCs/>
        </w:rPr>
      </w:pPr>
      <w:r w:rsidRPr="00CD201A">
        <w:rPr>
          <w:i/>
          <w:iCs/>
        </w:rPr>
        <w:t>Dans notre exemple, l</w:t>
      </w:r>
      <w:r w:rsidR="00F86F16" w:rsidRPr="00CD201A">
        <w:rPr>
          <w:i/>
          <w:iCs/>
        </w:rPr>
        <w:t>’écriture à passer est donc la suivante :</w:t>
      </w:r>
    </w:p>
    <w:tbl>
      <w:tblPr>
        <w:tblStyle w:val="Grilledutableau"/>
        <w:tblW w:w="0" w:type="auto"/>
        <w:tblLook w:val="04A0" w:firstRow="1" w:lastRow="0" w:firstColumn="1" w:lastColumn="0" w:noHBand="0" w:noVBand="1"/>
      </w:tblPr>
      <w:tblGrid>
        <w:gridCol w:w="1271"/>
        <w:gridCol w:w="3799"/>
        <w:gridCol w:w="1446"/>
        <w:gridCol w:w="1417"/>
      </w:tblGrid>
      <w:tr w:rsidR="00F86F16" w14:paraId="428F1D01" w14:textId="77777777" w:rsidTr="00CD201A">
        <w:tc>
          <w:tcPr>
            <w:tcW w:w="1271" w:type="dxa"/>
            <w:tcBorders>
              <w:top w:val="nil"/>
              <w:left w:val="single" w:sz="4" w:space="0" w:color="auto"/>
              <w:bottom w:val="nil"/>
              <w:right w:val="single" w:sz="4" w:space="0" w:color="auto"/>
            </w:tcBorders>
          </w:tcPr>
          <w:p w14:paraId="612F9F86" w14:textId="77777777" w:rsidR="00F86F16" w:rsidRDefault="00F86F16">
            <w:pPr>
              <w:spacing w:after="0" w:line="240" w:lineRule="auto"/>
            </w:pPr>
          </w:p>
        </w:tc>
        <w:tc>
          <w:tcPr>
            <w:tcW w:w="3799" w:type="dxa"/>
            <w:tcBorders>
              <w:top w:val="single" w:sz="4" w:space="0" w:color="auto"/>
              <w:left w:val="single" w:sz="4" w:space="0" w:color="auto"/>
              <w:bottom w:val="nil"/>
              <w:right w:val="single" w:sz="4" w:space="0" w:color="auto"/>
            </w:tcBorders>
            <w:hideMark/>
          </w:tcPr>
          <w:p w14:paraId="7B07B4BD" w14:textId="4E6DADB9" w:rsidR="00F86F16" w:rsidRDefault="00F86F16">
            <w:pPr>
              <w:spacing w:after="0" w:line="240" w:lineRule="auto"/>
              <w:jc w:val="center"/>
            </w:pPr>
            <w:r>
              <w:t>30/06/</w:t>
            </w:r>
            <w:r w:rsidR="00CD201A">
              <w:t>N+1</w:t>
            </w:r>
          </w:p>
        </w:tc>
        <w:tc>
          <w:tcPr>
            <w:tcW w:w="1446" w:type="dxa"/>
            <w:tcBorders>
              <w:top w:val="nil"/>
              <w:left w:val="single" w:sz="4" w:space="0" w:color="auto"/>
              <w:bottom w:val="nil"/>
              <w:right w:val="single" w:sz="4" w:space="0" w:color="auto"/>
            </w:tcBorders>
          </w:tcPr>
          <w:p w14:paraId="71ADB2E3" w14:textId="77777777" w:rsidR="00F86F16" w:rsidRDefault="00F86F16">
            <w:pPr>
              <w:spacing w:after="0" w:line="240" w:lineRule="auto"/>
            </w:pPr>
          </w:p>
        </w:tc>
        <w:tc>
          <w:tcPr>
            <w:tcW w:w="1417" w:type="dxa"/>
            <w:tcBorders>
              <w:top w:val="nil"/>
              <w:left w:val="single" w:sz="4" w:space="0" w:color="auto"/>
              <w:bottom w:val="nil"/>
              <w:right w:val="single" w:sz="4" w:space="0" w:color="auto"/>
            </w:tcBorders>
          </w:tcPr>
          <w:p w14:paraId="2FB4B4F6" w14:textId="77777777" w:rsidR="00F86F16" w:rsidRDefault="00F86F16">
            <w:pPr>
              <w:spacing w:after="0" w:line="240" w:lineRule="auto"/>
            </w:pPr>
          </w:p>
        </w:tc>
      </w:tr>
      <w:tr w:rsidR="00F86F16" w14:paraId="3572FFF6" w14:textId="77777777" w:rsidTr="00CD201A">
        <w:tc>
          <w:tcPr>
            <w:tcW w:w="1271" w:type="dxa"/>
            <w:tcBorders>
              <w:top w:val="nil"/>
              <w:left w:val="single" w:sz="4" w:space="0" w:color="auto"/>
              <w:bottom w:val="nil"/>
              <w:right w:val="single" w:sz="4" w:space="0" w:color="auto"/>
            </w:tcBorders>
            <w:hideMark/>
          </w:tcPr>
          <w:p w14:paraId="07588ED3" w14:textId="77777777" w:rsidR="00F86F16" w:rsidRDefault="00F86F16">
            <w:pPr>
              <w:spacing w:after="0" w:line="240" w:lineRule="auto"/>
            </w:pPr>
            <w:r>
              <w:t>120</w:t>
            </w:r>
          </w:p>
          <w:p w14:paraId="6B6BF7DC" w14:textId="77777777" w:rsidR="00F86F16" w:rsidRDefault="00F86F16">
            <w:pPr>
              <w:spacing w:after="0" w:line="240" w:lineRule="auto"/>
            </w:pPr>
            <w:r>
              <w:t>110</w:t>
            </w:r>
          </w:p>
          <w:p w14:paraId="2810B081" w14:textId="77777777" w:rsidR="00F86F16" w:rsidRDefault="00F86F16">
            <w:pPr>
              <w:spacing w:after="0" w:line="240" w:lineRule="auto"/>
            </w:pPr>
            <w:r>
              <w:t>1061</w:t>
            </w:r>
          </w:p>
          <w:p w14:paraId="235008D3" w14:textId="77777777" w:rsidR="00F86F16" w:rsidRDefault="00F86F16">
            <w:pPr>
              <w:spacing w:after="0" w:line="240" w:lineRule="auto"/>
            </w:pPr>
            <w:r>
              <w:t>1068</w:t>
            </w:r>
          </w:p>
          <w:p w14:paraId="506F56D3" w14:textId="77777777" w:rsidR="00F86F16" w:rsidRDefault="00F86F16">
            <w:pPr>
              <w:spacing w:after="0" w:line="240" w:lineRule="auto"/>
            </w:pPr>
            <w:r>
              <w:t>457</w:t>
            </w:r>
          </w:p>
          <w:p w14:paraId="5A62C421" w14:textId="77777777" w:rsidR="00F86F16" w:rsidRDefault="00F86F16">
            <w:pPr>
              <w:spacing w:after="0" w:line="240" w:lineRule="auto"/>
            </w:pPr>
            <w:r>
              <w:t>110</w:t>
            </w:r>
          </w:p>
        </w:tc>
        <w:tc>
          <w:tcPr>
            <w:tcW w:w="3799" w:type="dxa"/>
            <w:tcBorders>
              <w:top w:val="nil"/>
              <w:left w:val="single" w:sz="4" w:space="0" w:color="auto"/>
              <w:bottom w:val="nil"/>
              <w:right w:val="single" w:sz="4" w:space="0" w:color="auto"/>
            </w:tcBorders>
            <w:hideMark/>
          </w:tcPr>
          <w:p w14:paraId="1A0AF9E9" w14:textId="77777777" w:rsidR="00F86F16" w:rsidRDefault="00F86F16">
            <w:pPr>
              <w:spacing w:after="0" w:line="240" w:lineRule="auto"/>
            </w:pPr>
            <w:r>
              <w:t>Résultat de l’exercice</w:t>
            </w:r>
          </w:p>
          <w:p w14:paraId="322223E8" w14:textId="00056590" w:rsidR="00F86F16" w:rsidRDefault="00F86F16">
            <w:pPr>
              <w:spacing w:after="0" w:line="240" w:lineRule="auto"/>
            </w:pPr>
            <w:r>
              <w:t>Report à nouveau N</w:t>
            </w:r>
            <w:r w:rsidR="00CD201A">
              <w:t>-</w:t>
            </w:r>
            <w:r>
              <w:t>1</w:t>
            </w:r>
          </w:p>
          <w:p w14:paraId="62C840F6" w14:textId="77777777" w:rsidR="00F86F16" w:rsidRDefault="00F86F16">
            <w:pPr>
              <w:spacing w:after="0" w:line="240" w:lineRule="auto"/>
            </w:pPr>
            <w:r>
              <w:t xml:space="preserve">                 Réserve légale</w:t>
            </w:r>
          </w:p>
          <w:p w14:paraId="37711AB9" w14:textId="77777777" w:rsidR="00F86F16" w:rsidRDefault="00F86F16">
            <w:pPr>
              <w:spacing w:after="0" w:line="240" w:lineRule="auto"/>
            </w:pPr>
            <w:r>
              <w:t xml:space="preserve">                 Autres réserves</w:t>
            </w:r>
          </w:p>
          <w:p w14:paraId="091B00A1" w14:textId="60AE7A48" w:rsidR="00F86F16" w:rsidRDefault="00F86F16">
            <w:pPr>
              <w:spacing w:after="0" w:line="240" w:lineRule="auto"/>
            </w:pPr>
            <w:r>
              <w:t xml:space="preserve">                 Associés –</w:t>
            </w:r>
            <w:r w:rsidR="00CD201A">
              <w:t xml:space="preserve"> </w:t>
            </w:r>
            <w:r>
              <w:t>dividendes à payer</w:t>
            </w:r>
          </w:p>
          <w:p w14:paraId="6BF3D6A9" w14:textId="77777777" w:rsidR="00F86F16" w:rsidRDefault="00F86F16">
            <w:pPr>
              <w:spacing w:after="0" w:line="240" w:lineRule="auto"/>
            </w:pPr>
            <w:r>
              <w:t xml:space="preserve">                 Report à nouveau N</w:t>
            </w:r>
          </w:p>
        </w:tc>
        <w:tc>
          <w:tcPr>
            <w:tcW w:w="1446" w:type="dxa"/>
            <w:tcBorders>
              <w:top w:val="nil"/>
              <w:left w:val="single" w:sz="4" w:space="0" w:color="auto"/>
              <w:bottom w:val="nil"/>
              <w:right w:val="single" w:sz="4" w:space="0" w:color="auto"/>
            </w:tcBorders>
          </w:tcPr>
          <w:p w14:paraId="047EF7C0" w14:textId="77777777" w:rsidR="00F86F16" w:rsidRDefault="00F86F16">
            <w:pPr>
              <w:spacing w:after="0" w:line="240" w:lineRule="auto"/>
              <w:jc w:val="right"/>
            </w:pPr>
            <w:r>
              <w:t>60 000,00</w:t>
            </w:r>
          </w:p>
          <w:p w14:paraId="15F33906" w14:textId="77777777" w:rsidR="00F86F16" w:rsidRDefault="00F86F16">
            <w:pPr>
              <w:spacing w:after="0" w:line="240" w:lineRule="auto"/>
              <w:jc w:val="right"/>
            </w:pPr>
            <w:r>
              <w:t>1 200,00</w:t>
            </w:r>
          </w:p>
          <w:p w14:paraId="2EDF5E77" w14:textId="77777777" w:rsidR="00F86F16" w:rsidRDefault="00F86F16">
            <w:pPr>
              <w:spacing w:after="0" w:line="240" w:lineRule="auto"/>
              <w:jc w:val="right"/>
            </w:pPr>
          </w:p>
        </w:tc>
        <w:tc>
          <w:tcPr>
            <w:tcW w:w="1417" w:type="dxa"/>
            <w:tcBorders>
              <w:top w:val="nil"/>
              <w:left w:val="single" w:sz="4" w:space="0" w:color="auto"/>
              <w:bottom w:val="nil"/>
              <w:right w:val="single" w:sz="4" w:space="0" w:color="auto"/>
            </w:tcBorders>
          </w:tcPr>
          <w:p w14:paraId="4A37D96A" w14:textId="77777777" w:rsidR="00F86F16" w:rsidRDefault="00F86F16">
            <w:pPr>
              <w:spacing w:after="0" w:line="240" w:lineRule="auto"/>
              <w:jc w:val="right"/>
            </w:pPr>
          </w:p>
          <w:p w14:paraId="5B9C9DB5" w14:textId="77777777" w:rsidR="00F86F16" w:rsidRDefault="00F86F16">
            <w:pPr>
              <w:spacing w:after="0" w:line="240" w:lineRule="auto"/>
              <w:jc w:val="right"/>
            </w:pPr>
          </w:p>
          <w:p w14:paraId="225B1FAB" w14:textId="77777777" w:rsidR="00F86F16" w:rsidRDefault="00F86F16">
            <w:pPr>
              <w:spacing w:after="0" w:line="240" w:lineRule="auto"/>
              <w:jc w:val="right"/>
            </w:pPr>
            <w:r>
              <w:t>200,00</w:t>
            </w:r>
          </w:p>
          <w:p w14:paraId="1CDAA0B7" w14:textId="77777777" w:rsidR="00F86F16" w:rsidRDefault="00F86F16">
            <w:pPr>
              <w:spacing w:after="0" w:line="240" w:lineRule="auto"/>
              <w:jc w:val="right"/>
            </w:pPr>
            <w:r>
              <w:t>37 500,00</w:t>
            </w:r>
          </w:p>
          <w:p w14:paraId="0A544BCC" w14:textId="77777777" w:rsidR="00F86F16" w:rsidRDefault="00F86F16">
            <w:pPr>
              <w:spacing w:after="0" w:line="240" w:lineRule="auto"/>
              <w:jc w:val="right"/>
            </w:pPr>
            <w:r>
              <w:t>18 000,00</w:t>
            </w:r>
          </w:p>
          <w:p w14:paraId="5EEC973E" w14:textId="77777777" w:rsidR="00F86F16" w:rsidRDefault="00F86F16">
            <w:pPr>
              <w:spacing w:after="0" w:line="240" w:lineRule="auto"/>
              <w:jc w:val="right"/>
            </w:pPr>
            <w:r>
              <w:t>5 500,00</w:t>
            </w:r>
          </w:p>
        </w:tc>
      </w:tr>
      <w:tr w:rsidR="00F86F16" w14:paraId="3DC2C15B" w14:textId="77777777" w:rsidTr="00CD201A">
        <w:tc>
          <w:tcPr>
            <w:tcW w:w="1271" w:type="dxa"/>
            <w:tcBorders>
              <w:top w:val="nil"/>
              <w:left w:val="single" w:sz="4" w:space="0" w:color="auto"/>
              <w:bottom w:val="nil"/>
              <w:right w:val="single" w:sz="4" w:space="0" w:color="auto"/>
            </w:tcBorders>
          </w:tcPr>
          <w:p w14:paraId="17D2636D" w14:textId="77777777" w:rsidR="00F86F16" w:rsidRDefault="00F86F16">
            <w:pPr>
              <w:spacing w:after="0" w:line="240" w:lineRule="auto"/>
            </w:pPr>
          </w:p>
        </w:tc>
        <w:tc>
          <w:tcPr>
            <w:tcW w:w="3799" w:type="dxa"/>
            <w:tcBorders>
              <w:top w:val="nil"/>
              <w:left w:val="single" w:sz="4" w:space="0" w:color="auto"/>
              <w:bottom w:val="single" w:sz="4" w:space="0" w:color="auto"/>
              <w:right w:val="single" w:sz="4" w:space="0" w:color="auto"/>
            </w:tcBorders>
            <w:hideMark/>
          </w:tcPr>
          <w:p w14:paraId="7D3D0504" w14:textId="77777777" w:rsidR="00F86F16" w:rsidRDefault="00F86F16">
            <w:pPr>
              <w:spacing w:after="0" w:line="240" w:lineRule="auto"/>
              <w:jc w:val="center"/>
            </w:pPr>
            <w:r>
              <w:t>(selon affectation AGO)</w:t>
            </w:r>
          </w:p>
        </w:tc>
        <w:tc>
          <w:tcPr>
            <w:tcW w:w="1446" w:type="dxa"/>
            <w:tcBorders>
              <w:top w:val="nil"/>
              <w:left w:val="single" w:sz="4" w:space="0" w:color="auto"/>
              <w:bottom w:val="nil"/>
              <w:right w:val="single" w:sz="4" w:space="0" w:color="auto"/>
            </w:tcBorders>
          </w:tcPr>
          <w:p w14:paraId="28F6620A" w14:textId="77777777" w:rsidR="00F86F16" w:rsidRDefault="00F86F16">
            <w:pPr>
              <w:spacing w:after="0" w:line="240" w:lineRule="auto"/>
            </w:pPr>
          </w:p>
        </w:tc>
        <w:tc>
          <w:tcPr>
            <w:tcW w:w="1417" w:type="dxa"/>
            <w:tcBorders>
              <w:top w:val="nil"/>
              <w:left w:val="single" w:sz="4" w:space="0" w:color="auto"/>
              <w:bottom w:val="nil"/>
              <w:right w:val="single" w:sz="4" w:space="0" w:color="auto"/>
            </w:tcBorders>
          </w:tcPr>
          <w:p w14:paraId="0F1BEF94" w14:textId="77777777" w:rsidR="00F86F16" w:rsidRDefault="00F86F16">
            <w:pPr>
              <w:spacing w:after="0" w:line="240" w:lineRule="auto"/>
            </w:pPr>
          </w:p>
        </w:tc>
      </w:tr>
    </w:tbl>
    <w:p w14:paraId="67F90EED" w14:textId="77777777" w:rsidR="00CD201A" w:rsidRDefault="00CD201A" w:rsidP="00CD201A"/>
    <w:p w14:paraId="7380898F" w14:textId="3EEAA197" w:rsidR="00F86F16" w:rsidRDefault="00F86F16" w:rsidP="00CD201A">
      <w:r>
        <w:t>La somme de l’intérêt statutaire et du superdividende constitue le dividende.</w:t>
      </w:r>
    </w:p>
    <w:p w14:paraId="4A45F898" w14:textId="77777777" w:rsidR="000F3743" w:rsidRDefault="000F3743" w:rsidP="00CD201A">
      <w:pPr>
        <w:rPr>
          <w:rFonts w:cstheme="minorBidi"/>
        </w:rPr>
      </w:pPr>
    </w:p>
    <w:p w14:paraId="252A3A6C" w14:textId="0F6FE4F2" w:rsidR="00F86F16" w:rsidRDefault="00F86F16" w:rsidP="00385E02">
      <w:pPr>
        <w:pStyle w:val="Titre2"/>
      </w:pPr>
      <w:r>
        <w:t>L’enjeu de la répartition des bénéfices</w:t>
      </w:r>
    </w:p>
    <w:p w14:paraId="6181A0E3" w14:textId="77777777" w:rsidR="00F86F16" w:rsidRDefault="00F86F16" w:rsidP="00385E02">
      <w:pPr>
        <w:pStyle w:val="Titre3"/>
      </w:pPr>
      <w:r>
        <w:t>La satisfaction des actionnaires</w:t>
      </w:r>
    </w:p>
    <w:p w14:paraId="45061708" w14:textId="26026BAF" w:rsidR="00F86F16" w:rsidRDefault="00F86F16" w:rsidP="00F86F16">
      <w:pPr>
        <w:spacing w:after="0"/>
      </w:pPr>
      <w:r>
        <w:t>Le niveau de satisfaction des actionnaires passe par une maximisation du montant des dividendes perçus. Il est indispensable de satisfaire les actionnaires car ils pourraient être tentés de vendre leurs actions s’ils estiment que l’action n’est pas rentable. Une vente massive entraîne une baisse de la valeur de l‘action</w:t>
      </w:r>
      <w:r w:rsidR="000F3743">
        <w:t>,</w:t>
      </w:r>
      <w:r>
        <w:t xml:space="preserve"> qui peut </w:t>
      </w:r>
      <w:r w:rsidR="000F3743">
        <w:t>provoquer</w:t>
      </w:r>
      <w:r>
        <w:t xml:space="preserve"> une perte de confiance des investisseurs sur les marchés.</w:t>
      </w:r>
    </w:p>
    <w:p w14:paraId="1722287A" w14:textId="77777777" w:rsidR="00385E02" w:rsidRDefault="00385E02" w:rsidP="00F86F16">
      <w:pPr>
        <w:spacing w:after="0"/>
      </w:pPr>
    </w:p>
    <w:p w14:paraId="15AE5D55" w14:textId="77777777" w:rsidR="00F86F16" w:rsidRDefault="00F86F16" w:rsidP="00385E02">
      <w:pPr>
        <w:pStyle w:val="Titre3"/>
      </w:pPr>
      <w:r>
        <w:t>L’intérêt de l’entreprise</w:t>
      </w:r>
    </w:p>
    <w:p w14:paraId="5D3F4E09" w14:textId="14778C91" w:rsidR="00F86F16" w:rsidRDefault="00F86F16" w:rsidP="00F86F16">
      <w:pPr>
        <w:spacing w:after="0"/>
      </w:pPr>
      <w:r>
        <w:t>L’entreprise doit chercher à satisfaire ses actionnaires pour éviter les désagréments d’une perte de confiance de leur part et d’une baisse de la valeur de l’action. Mais l’intérêt de l’entreprise passe aussi par la conservation de capitaux propres en prévision de futurs investissements indispensables à se pérennité. Par ailleurs, des capitaux propres importants sont un gage de situation financière saine pour les créanciers (dont les investisseurs eux-mêmes).</w:t>
      </w:r>
    </w:p>
    <w:p w14:paraId="49584BA6" w14:textId="77777777" w:rsidR="00385E02" w:rsidRDefault="00385E02" w:rsidP="00F86F16">
      <w:pPr>
        <w:spacing w:after="0"/>
      </w:pPr>
    </w:p>
    <w:p w14:paraId="60A18609" w14:textId="77777777" w:rsidR="00F86F16" w:rsidRDefault="00F86F16" w:rsidP="00385E02">
      <w:pPr>
        <w:pStyle w:val="Titre3"/>
      </w:pPr>
      <w:r>
        <w:t>La divergence d’intérêts des acteurs</w:t>
      </w:r>
    </w:p>
    <w:p w14:paraId="2F9FEE26" w14:textId="77777777" w:rsidR="00F86F16" w:rsidRDefault="00F86F16" w:rsidP="000F3743">
      <w:r>
        <w:lastRenderedPageBreak/>
        <w:t>Les intérêts des actionnaires et de l’entreprise sont divergents. L’enjeu de la répartition est donc de trouver un compromis satisfaisant entre ces deux visions.</w:t>
      </w:r>
    </w:p>
    <w:p w14:paraId="09B6A659" w14:textId="46D77A2F" w:rsidR="00DF015E" w:rsidRPr="002B7CBF" w:rsidRDefault="00F86F16" w:rsidP="000F3743">
      <w:r>
        <w:t>Les salariés</w:t>
      </w:r>
      <w:bookmarkStart w:id="0" w:name="_GoBack"/>
      <w:bookmarkEnd w:id="0"/>
      <w:r>
        <w:t xml:space="preserve"> souhaitent profiter de la valeur ajoutée qu’ils contribuent à créer par leur travail, ils attendent donc une progression de leurs salaires.</w:t>
      </w:r>
    </w:p>
    <w:sectPr w:rsidR="00DF015E" w:rsidRPr="002B7CBF">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4CD1E8" w14:textId="77777777" w:rsidR="00D54333" w:rsidRDefault="00D54333" w:rsidP="00A715E6">
      <w:r>
        <w:separator/>
      </w:r>
    </w:p>
  </w:endnote>
  <w:endnote w:type="continuationSeparator" w:id="0">
    <w:p w14:paraId="72831507" w14:textId="77777777" w:rsidR="00D54333" w:rsidRDefault="00D54333" w:rsidP="00A715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lwyn New Rounded Lt">
    <w:altName w:val="Calibri"/>
    <w:panose1 w:val="00000000000000000000"/>
    <w:charset w:val="00"/>
    <w:family w:val="modern"/>
    <w:notTrueType/>
    <w:pitch w:val="variable"/>
    <w:sig w:usb0="A00000AF" w:usb1="5000204A" w:usb2="00000000" w:usb3="00000000" w:csb0="0000008B"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0"/>
    <w:family w:val="auto"/>
    <w:pitch w:val="default"/>
  </w:font>
  <w:font w:name="NSimSun">
    <w:panose1 w:val="02010609030101010101"/>
    <w:charset w:val="86"/>
    <w:family w:val="modern"/>
    <w:pitch w:val="fixed"/>
    <w:sig w:usb0="0000028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D7F6EE" w14:textId="77777777" w:rsidR="006F664C" w:rsidRDefault="006F664C" w:rsidP="00A715E6">
    <w:pPr>
      <w:pStyle w:val="Pieddepage"/>
    </w:pPr>
    <w:r>
      <w:t>© Delagrave</w:t>
    </w:r>
  </w:p>
  <w:p w14:paraId="1228EF6A" w14:textId="77777777" w:rsidR="006F664C" w:rsidRDefault="006F664C" w:rsidP="00A715E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152097" w14:textId="77777777" w:rsidR="00D54333" w:rsidRDefault="00D54333" w:rsidP="00A715E6">
      <w:r>
        <w:separator/>
      </w:r>
    </w:p>
  </w:footnote>
  <w:footnote w:type="continuationSeparator" w:id="0">
    <w:p w14:paraId="604B859A" w14:textId="77777777" w:rsidR="00D54333" w:rsidRDefault="00D54333" w:rsidP="00A715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F722C"/>
    <w:multiLevelType w:val="hybridMultilevel"/>
    <w:tmpl w:val="9C1670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B2B25A9"/>
    <w:multiLevelType w:val="hybridMultilevel"/>
    <w:tmpl w:val="ED928CE6"/>
    <w:lvl w:ilvl="0" w:tplc="610EAB3E">
      <w:start w:val="1"/>
      <w:numFmt w:val="decimal"/>
      <w:lvlText w:val="%1."/>
      <w:lvlJc w:val="left"/>
      <w:pPr>
        <w:ind w:left="1065" w:hanging="360"/>
      </w:pPr>
    </w:lvl>
    <w:lvl w:ilvl="1" w:tplc="040C0019">
      <w:start w:val="1"/>
      <w:numFmt w:val="lowerLetter"/>
      <w:lvlText w:val="%2."/>
      <w:lvlJc w:val="left"/>
      <w:pPr>
        <w:ind w:left="1785" w:hanging="360"/>
      </w:pPr>
    </w:lvl>
    <w:lvl w:ilvl="2" w:tplc="040C001B">
      <w:start w:val="1"/>
      <w:numFmt w:val="lowerRoman"/>
      <w:lvlText w:val="%3."/>
      <w:lvlJc w:val="right"/>
      <w:pPr>
        <w:ind w:left="2505" w:hanging="180"/>
      </w:pPr>
    </w:lvl>
    <w:lvl w:ilvl="3" w:tplc="040C000F">
      <w:start w:val="1"/>
      <w:numFmt w:val="decimal"/>
      <w:lvlText w:val="%4."/>
      <w:lvlJc w:val="left"/>
      <w:pPr>
        <w:ind w:left="3225" w:hanging="360"/>
      </w:pPr>
    </w:lvl>
    <w:lvl w:ilvl="4" w:tplc="040C0019">
      <w:start w:val="1"/>
      <w:numFmt w:val="lowerLetter"/>
      <w:lvlText w:val="%5."/>
      <w:lvlJc w:val="left"/>
      <w:pPr>
        <w:ind w:left="3945" w:hanging="360"/>
      </w:pPr>
    </w:lvl>
    <w:lvl w:ilvl="5" w:tplc="040C001B">
      <w:start w:val="1"/>
      <w:numFmt w:val="lowerRoman"/>
      <w:lvlText w:val="%6."/>
      <w:lvlJc w:val="right"/>
      <w:pPr>
        <w:ind w:left="4665" w:hanging="180"/>
      </w:pPr>
    </w:lvl>
    <w:lvl w:ilvl="6" w:tplc="040C000F">
      <w:start w:val="1"/>
      <w:numFmt w:val="decimal"/>
      <w:lvlText w:val="%7."/>
      <w:lvlJc w:val="left"/>
      <w:pPr>
        <w:ind w:left="5385" w:hanging="360"/>
      </w:pPr>
    </w:lvl>
    <w:lvl w:ilvl="7" w:tplc="040C0019">
      <w:start w:val="1"/>
      <w:numFmt w:val="lowerLetter"/>
      <w:lvlText w:val="%8."/>
      <w:lvlJc w:val="left"/>
      <w:pPr>
        <w:ind w:left="6105" w:hanging="360"/>
      </w:pPr>
    </w:lvl>
    <w:lvl w:ilvl="8" w:tplc="040C001B">
      <w:start w:val="1"/>
      <w:numFmt w:val="lowerRoman"/>
      <w:lvlText w:val="%9."/>
      <w:lvlJc w:val="right"/>
      <w:pPr>
        <w:ind w:left="6825" w:hanging="180"/>
      </w:pPr>
    </w:lvl>
  </w:abstractNum>
  <w:abstractNum w:abstractNumId="2" w15:restartNumberingAfterBreak="0">
    <w:nsid w:val="211F68E0"/>
    <w:multiLevelType w:val="hybridMultilevel"/>
    <w:tmpl w:val="08F04902"/>
    <w:lvl w:ilvl="0" w:tplc="34109838">
      <w:start w:val="1"/>
      <w:numFmt w:val="decimal"/>
      <w:pStyle w:val="Titre2"/>
      <w:lvlText w:val="%1."/>
      <w:lvlJc w:val="left"/>
      <w:pPr>
        <w:ind w:left="360" w:hanging="360"/>
      </w:pPr>
    </w:lvl>
    <w:lvl w:ilvl="1" w:tplc="3846233E">
      <w:start w:val="1"/>
      <w:numFmt w:val="lowerLetter"/>
      <w:pStyle w:val="Titre3"/>
      <w:lvlText w:val="%2."/>
      <w:lvlJc w:val="left"/>
      <w:pPr>
        <w:ind w:left="1080" w:hanging="360"/>
      </w:pPr>
    </w:lvl>
    <w:lvl w:ilvl="2" w:tplc="040C001B">
      <w:start w:val="1"/>
      <w:numFmt w:val="lowerRoman"/>
      <w:lvlText w:val="%3."/>
      <w:lvlJc w:val="right"/>
      <w:pPr>
        <w:ind w:left="1800" w:hanging="180"/>
      </w:pPr>
    </w:lvl>
    <w:lvl w:ilvl="3" w:tplc="040C000F">
      <w:start w:val="1"/>
      <w:numFmt w:val="decimal"/>
      <w:lvlText w:val="%4."/>
      <w:lvlJc w:val="left"/>
      <w:pPr>
        <w:ind w:left="2520" w:hanging="360"/>
      </w:pPr>
    </w:lvl>
    <w:lvl w:ilvl="4" w:tplc="040C0019">
      <w:start w:val="1"/>
      <w:numFmt w:val="lowerLetter"/>
      <w:lvlText w:val="%5."/>
      <w:lvlJc w:val="left"/>
      <w:pPr>
        <w:ind w:left="3240" w:hanging="360"/>
      </w:pPr>
    </w:lvl>
    <w:lvl w:ilvl="5" w:tplc="040C001B">
      <w:start w:val="1"/>
      <w:numFmt w:val="lowerRoman"/>
      <w:lvlText w:val="%6."/>
      <w:lvlJc w:val="right"/>
      <w:pPr>
        <w:ind w:left="3960" w:hanging="180"/>
      </w:pPr>
    </w:lvl>
    <w:lvl w:ilvl="6" w:tplc="040C000F">
      <w:start w:val="1"/>
      <w:numFmt w:val="decimal"/>
      <w:lvlText w:val="%7."/>
      <w:lvlJc w:val="left"/>
      <w:pPr>
        <w:ind w:left="4680" w:hanging="360"/>
      </w:pPr>
    </w:lvl>
    <w:lvl w:ilvl="7" w:tplc="040C0019">
      <w:start w:val="1"/>
      <w:numFmt w:val="lowerLetter"/>
      <w:lvlText w:val="%8."/>
      <w:lvlJc w:val="left"/>
      <w:pPr>
        <w:ind w:left="5400" w:hanging="360"/>
      </w:pPr>
    </w:lvl>
    <w:lvl w:ilvl="8" w:tplc="040C001B">
      <w:start w:val="1"/>
      <w:numFmt w:val="lowerRoman"/>
      <w:lvlText w:val="%9."/>
      <w:lvlJc w:val="right"/>
      <w:pPr>
        <w:ind w:left="6120" w:hanging="180"/>
      </w:pPr>
    </w:lvl>
  </w:abstractNum>
  <w:abstractNum w:abstractNumId="3" w15:restartNumberingAfterBreak="0">
    <w:nsid w:val="2F9F1FA6"/>
    <w:multiLevelType w:val="hybridMultilevel"/>
    <w:tmpl w:val="9AF0519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311644D7"/>
    <w:multiLevelType w:val="hybridMultilevel"/>
    <w:tmpl w:val="8B384402"/>
    <w:lvl w:ilvl="0" w:tplc="040C0015">
      <w:start w:val="1"/>
      <w:numFmt w:val="upperLetter"/>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5" w15:restartNumberingAfterBreak="0">
    <w:nsid w:val="46E5729F"/>
    <w:multiLevelType w:val="hybridMultilevel"/>
    <w:tmpl w:val="132020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BC036FB"/>
    <w:multiLevelType w:val="hybridMultilevel"/>
    <w:tmpl w:val="738ADA16"/>
    <w:lvl w:ilvl="0" w:tplc="040C0015">
      <w:start w:val="1"/>
      <w:numFmt w:val="upperLetter"/>
      <w:lvlText w:val="%1."/>
      <w:lvlJc w:val="left"/>
      <w:pPr>
        <w:ind w:left="720" w:hanging="360"/>
      </w:pPr>
      <w:rPr>
        <w:i w:val="0"/>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7" w15:restartNumberingAfterBreak="0">
    <w:nsid w:val="76783BB7"/>
    <w:multiLevelType w:val="hybridMultilevel"/>
    <w:tmpl w:val="3B56CB28"/>
    <w:lvl w:ilvl="0" w:tplc="731EA3EC">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7"/>
    <w:lvlOverride w:ilvl="0"/>
    <w:lvlOverride w:ilvl="1"/>
    <w:lvlOverride w:ilvl="2"/>
    <w:lvlOverride w:ilvl="3"/>
    <w:lvlOverride w:ilvl="4"/>
    <w:lvlOverride w:ilvl="5"/>
    <w:lvlOverride w:ilvl="6"/>
    <w:lvlOverride w:ilvl="7"/>
    <w:lvlOverride w:ilvl="8"/>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0"/>
  </w:num>
  <w:num w:numId="10">
    <w:abstractNumId w:val="7"/>
  </w:num>
  <w:num w:numId="11">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5DE2"/>
    <w:rsid w:val="000121C8"/>
    <w:rsid w:val="00051F5C"/>
    <w:rsid w:val="0008208B"/>
    <w:rsid w:val="000F3743"/>
    <w:rsid w:val="00102E1C"/>
    <w:rsid w:val="00136335"/>
    <w:rsid w:val="001573AC"/>
    <w:rsid w:val="001B4D1C"/>
    <w:rsid w:val="001B5DE2"/>
    <w:rsid w:val="001E63E0"/>
    <w:rsid w:val="001F236C"/>
    <w:rsid w:val="0020325A"/>
    <w:rsid w:val="00206267"/>
    <w:rsid w:val="002B5FAD"/>
    <w:rsid w:val="003521D7"/>
    <w:rsid w:val="003525DC"/>
    <w:rsid w:val="00356543"/>
    <w:rsid w:val="00385E02"/>
    <w:rsid w:val="003A6F4D"/>
    <w:rsid w:val="003A7F1A"/>
    <w:rsid w:val="003B7549"/>
    <w:rsid w:val="00404A02"/>
    <w:rsid w:val="0047131D"/>
    <w:rsid w:val="00471A56"/>
    <w:rsid w:val="004A2233"/>
    <w:rsid w:val="004C33E9"/>
    <w:rsid w:val="00525C0E"/>
    <w:rsid w:val="00553262"/>
    <w:rsid w:val="0056408A"/>
    <w:rsid w:val="005D1398"/>
    <w:rsid w:val="00655693"/>
    <w:rsid w:val="00681F78"/>
    <w:rsid w:val="006A20A6"/>
    <w:rsid w:val="006C3752"/>
    <w:rsid w:val="006F664C"/>
    <w:rsid w:val="00742874"/>
    <w:rsid w:val="00880A2E"/>
    <w:rsid w:val="008A0A64"/>
    <w:rsid w:val="008D3203"/>
    <w:rsid w:val="008D65F8"/>
    <w:rsid w:val="00916B25"/>
    <w:rsid w:val="009517EE"/>
    <w:rsid w:val="00986690"/>
    <w:rsid w:val="009A5D11"/>
    <w:rsid w:val="009A7EAA"/>
    <w:rsid w:val="00A12245"/>
    <w:rsid w:val="00A12BB3"/>
    <w:rsid w:val="00A24130"/>
    <w:rsid w:val="00A6547F"/>
    <w:rsid w:val="00A715E6"/>
    <w:rsid w:val="00A742CC"/>
    <w:rsid w:val="00AF13E7"/>
    <w:rsid w:val="00B77771"/>
    <w:rsid w:val="00B94FF6"/>
    <w:rsid w:val="00BE03ED"/>
    <w:rsid w:val="00BF7364"/>
    <w:rsid w:val="00C04123"/>
    <w:rsid w:val="00C511AB"/>
    <w:rsid w:val="00C73FC0"/>
    <w:rsid w:val="00CA5B74"/>
    <w:rsid w:val="00CB2DB8"/>
    <w:rsid w:val="00CB7E6C"/>
    <w:rsid w:val="00CC3125"/>
    <w:rsid w:val="00CD201A"/>
    <w:rsid w:val="00D0388E"/>
    <w:rsid w:val="00D54333"/>
    <w:rsid w:val="00D71156"/>
    <w:rsid w:val="00DF015E"/>
    <w:rsid w:val="00E213FA"/>
    <w:rsid w:val="00E31277"/>
    <w:rsid w:val="00E71C06"/>
    <w:rsid w:val="00E72EB7"/>
    <w:rsid w:val="00EE4520"/>
    <w:rsid w:val="00F10F58"/>
    <w:rsid w:val="00F35C1F"/>
    <w:rsid w:val="00F75BD1"/>
    <w:rsid w:val="00F86F16"/>
    <w:rsid w:val="00FD177E"/>
    <w:rsid w:val="00FF4CD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14:docId w14:val="16D54424"/>
  <w15:docId w15:val="{8043AF55-0C98-46AA-BDCD-EB242196F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15E6"/>
    <w:pPr>
      <w:spacing w:after="200" w:line="276" w:lineRule="auto"/>
      <w:jc w:val="both"/>
    </w:pPr>
    <w:rPr>
      <w:rFonts w:asciiTheme="minorHAnsi" w:hAnsiTheme="minorHAnsi" w:cstheme="minorHAnsi"/>
      <w:sz w:val="22"/>
      <w:szCs w:val="22"/>
      <w:lang w:eastAsia="en-US"/>
    </w:rPr>
  </w:style>
  <w:style w:type="paragraph" w:styleId="Titre1">
    <w:name w:val="heading 1"/>
    <w:basedOn w:val="Normal"/>
    <w:next w:val="Normal"/>
    <w:link w:val="Titre1Car"/>
    <w:uiPriority w:val="9"/>
    <w:qFormat/>
    <w:rsid w:val="00E72EB7"/>
    <w:pPr>
      <w:spacing w:before="240"/>
      <w:outlineLvl w:val="0"/>
    </w:pPr>
    <w:rPr>
      <w:rFonts w:ascii="Alwyn New Rounded Lt" w:hAnsi="Alwyn New Rounded Lt"/>
      <w:b/>
      <w:color w:val="000099"/>
      <w:sz w:val="40"/>
    </w:rPr>
  </w:style>
  <w:style w:type="paragraph" w:styleId="Titre2">
    <w:name w:val="heading 2"/>
    <w:basedOn w:val="Normal"/>
    <w:next w:val="Normal"/>
    <w:link w:val="Titre2Car"/>
    <w:uiPriority w:val="9"/>
    <w:unhideWhenUsed/>
    <w:qFormat/>
    <w:rsid w:val="00E72EB7"/>
    <w:pPr>
      <w:numPr>
        <w:numId w:val="1"/>
      </w:numPr>
      <w:outlineLvl w:val="1"/>
    </w:pPr>
    <w:rPr>
      <w:rFonts w:ascii="Alwyn New Rounded Lt" w:hAnsi="Alwyn New Rounded Lt"/>
      <w:color w:val="006600"/>
      <w:sz w:val="32"/>
    </w:rPr>
  </w:style>
  <w:style w:type="paragraph" w:styleId="Titre3">
    <w:name w:val="heading 3"/>
    <w:basedOn w:val="Titre2"/>
    <w:next w:val="Normal"/>
    <w:link w:val="Titre3Car"/>
    <w:uiPriority w:val="9"/>
    <w:unhideWhenUsed/>
    <w:qFormat/>
    <w:rsid w:val="00E72EB7"/>
    <w:pPr>
      <w:numPr>
        <w:ilvl w:val="1"/>
      </w:numPr>
      <w:outlineLvl w:val="2"/>
    </w:pPr>
    <w:rPr>
      <w:color w:val="943634" w:themeColor="accent2" w:themeShade="BF"/>
    </w:rPr>
  </w:style>
  <w:style w:type="paragraph" w:styleId="Titre4">
    <w:name w:val="heading 4"/>
    <w:basedOn w:val="Normal"/>
    <w:next w:val="Normal"/>
    <w:link w:val="Titre4Car"/>
    <w:uiPriority w:val="9"/>
    <w:unhideWhenUsed/>
    <w:qFormat/>
    <w:rsid w:val="00986690"/>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72EB7"/>
    <w:rPr>
      <w:rFonts w:ascii="Alwyn New Rounded Lt" w:hAnsi="Alwyn New Rounded Lt"/>
      <w:b/>
      <w:color w:val="000099"/>
      <w:sz w:val="40"/>
      <w:szCs w:val="22"/>
      <w:lang w:eastAsia="en-US"/>
    </w:rPr>
  </w:style>
  <w:style w:type="character" w:customStyle="1" w:styleId="Titre2Car">
    <w:name w:val="Titre 2 Car"/>
    <w:basedOn w:val="Policepardfaut"/>
    <w:link w:val="Titre2"/>
    <w:uiPriority w:val="9"/>
    <w:rsid w:val="00E72EB7"/>
    <w:rPr>
      <w:rFonts w:ascii="Alwyn New Rounded Lt" w:hAnsi="Alwyn New Rounded Lt" w:cstheme="minorHAnsi"/>
      <w:color w:val="006600"/>
      <w:sz w:val="32"/>
      <w:szCs w:val="22"/>
      <w:lang w:eastAsia="en-US"/>
    </w:rPr>
  </w:style>
  <w:style w:type="character" w:customStyle="1" w:styleId="Titre3Car">
    <w:name w:val="Titre 3 Car"/>
    <w:basedOn w:val="Policepardfaut"/>
    <w:link w:val="Titre3"/>
    <w:uiPriority w:val="9"/>
    <w:rsid w:val="00E72EB7"/>
    <w:rPr>
      <w:rFonts w:ascii="Alwyn New Rounded Lt" w:hAnsi="Alwyn New Rounded Lt" w:cstheme="minorHAnsi"/>
      <w:color w:val="943634" w:themeColor="accent2" w:themeShade="BF"/>
      <w:sz w:val="32"/>
      <w:szCs w:val="22"/>
      <w:lang w:eastAsia="en-US"/>
    </w:rPr>
  </w:style>
  <w:style w:type="paragraph" w:styleId="En-tte">
    <w:name w:val="header"/>
    <w:basedOn w:val="Normal"/>
    <w:link w:val="En-tteCar"/>
    <w:uiPriority w:val="99"/>
    <w:unhideWhenUsed/>
    <w:rsid w:val="006F664C"/>
    <w:pPr>
      <w:tabs>
        <w:tab w:val="center" w:pos="4536"/>
        <w:tab w:val="right" w:pos="9072"/>
      </w:tabs>
      <w:spacing w:after="0" w:line="240" w:lineRule="auto"/>
    </w:pPr>
  </w:style>
  <w:style w:type="character" w:customStyle="1" w:styleId="En-tteCar">
    <w:name w:val="En-tête Car"/>
    <w:basedOn w:val="Policepardfaut"/>
    <w:link w:val="En-tte"/>
    <w:uiPriority w:val="99"/>
    <w:rsid w:val="006F664C"/>
    <w:rPr>
      <w:sz w:val="22"/>
      <w:szCs w:val="22"/>
      <w:lang w:eastAsia="en-US"/>
    </w:rPr>
  </w:style>
  <w:style w:type="paragraph" w:styleId="Pieddepage">
    <w:name w:val="footer"/>
    <w:basedOn w:val="Normal"/>
    <w:link w:val="PieddepageCar"/>
    <w:uiPriority w:val="99"/>
    <w:unhideWhenUsed/>
    <w:rsid w:val="006F664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F664C"/>
    <w:rPr>
      <w:sz w:val="22"/>
      <w:szCs w:val="22"/>
      <w:lang w:eastAsia="en-US"/>
    </w:rPr>
  </w:style>
  <w:style w:type="paragraph" w:styleId="Textedebulles">
    <w:name w:val="Balloon Text"/>
    <w:basedOn w:val="Normal"/>
    <w:link w:val="TextedebullesCar"/>
    <w:uiPriority w:val="99"/>
    <w:semiHidden/>
    <w:unhideWhenUsed/>
    <w:rsid w:val="006F664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F664C"/>
    <w:rPr>
      <w:rFonts w:ascii="Tahoma" w:hAnsi="Tahoma" w:cs="Tahoma"/>
      <w:sz w:val="16"/>
      <w:szCs w:val="16"/>
      <w:lang w:eastAsia="en-US"/>
    </w:rPr>
  </w:style>
  <w:style w:type="paragraph" w:styleId="Paragraphedeliste">
    <w:name w:val="List Paragraph"/>
    <w:basedOn w:val="Normal"/>
    <w:uiPriority w:val="34"/>
    <w:qFormat/>
    <w:rsid w:val="00A715E6"/>
    <w:pPr>
      <w:ind w:left="720"/>
      <w:contextualSpacing/>
    </w:pPr>
    <w:rPr>
      <w:rFonts w:eastAsiaTheme="minorHAnsi" w:cstheme="minorBidi"/>
    </w:rPr>
  </w:style>
  <w:style w:type="paragraph" w:customStyle="1" w:styleId="07Courstitreniveau2">
    <w:name w:val="07_Cours_titre_niveau_2"/>
    <w:basedOn w:val="Normal"/>
    <w:uiPriority w:val="99"/>
    <w:rsid w:val="003A6F4D"/>
    <w:pPr>
      <w:widowControl w:val="0"/>
      <w:spacing w:before="240" w:after="120" w:line="240" w:lineRule="auto"/>
      <w:ind w:left="720" w:hanging="360"/>
      <w:jc w:val="left"/>
    </w:pPr>
    <w:rPr>
      <w:rFonts w:ascii="Arial" w:eastAsia="Times New Roman" w:hAnsi="Arial" w:cs="Times New Roman"/>
      <w:b/>
      <w:bCs/>
      <w:sz w:val="26"/>
      <w:szCs w:val="24"/>
      <w:lang w:eastAsia="fr-FR"/>
    </w:rPr>
  </w:style>
  <w:style w:type="table" w:styleId="Grilledutableau">
    <w:name w:val="Table Grid"/>
    <w:basedOn w:val="TableauNormal"/>
    <w:uiPriority w:val="39"/>
    <w:rsid w:val="003A6F4D"/>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ansinterligne">
    <w:name w:val="No Spacing"/>
    <w:uiPriority w:val="1"/>
    <w:qFormat/>
    <w:rsid w:val="003521D7"/>
    <w:pPr>
      <w:jc w:val="both"/>
    </w:pPr>
    <w:rPr>
      <w:rFonts w:asciiTheme="minorHAnsi" w:hAnsiTheme="minorHAnsi" w:cstheme="minorHAnsi"/>
      <w:sz w:val="22"/>
      <w:szCs w:val="22"/>
      <w:lang w:eastAsia="en-US"/>
    </w:rPr>
  </w:style>
  <w:style w:type="character" w:customStyle="1" w:styleId="Titre4Car">
    <w:name w:val="Titre 4 Car"/>
    <w:basedOn w:val="Policepardfaut"/>
    <w:link w:val="Titre4"/>
    <w:uiPriority w:val="9"/>
    <w:rsid w:val="00986690"/>
    <w:rPr>
      <w:rFonts w:asciiTheme="majorHAnsi" w:eastAsiaTheme="majorEastAsia" w:hAnsiTheme="majorHAnsi" w:cstheme="majorBidi"/>
      <w:i/>
      <w:iCs/>
      <w:color w:val="365F91" w:themeColor="accent1" w:themeShade="BF"/>
      <w:sz w:val="22"/>
      <w:szCs w:val="22"/>
      <w:lang w:eastAsia="en-US"/>
    </w:rPr>
  </w:style>
  <w:style w:type="character" w:styleId="lev">
    <w:name w:val="Strong"/>
    <w:qFormat/>
    <w:rsid w:val="009517EE"/>
    <w:rPr>
      <w:b/>
      <w:bCs/>
    </w:rPr>
  </w:style>
  <w:style w:type="paragraph" w:customStyle="1" w:styleId="Contenudetableau">
    <w:name w:val="Contenu de tableau"/>
    <w:basedOn w:val="Normal"/>
    <w:rsid w:val="009517EE"/>
    <w:pPr>
      <w:suppressLineNumbers/>
      <w:suppressAutoHyphens/>
      <w:spacing w:after="0" w:line="240" w:lineRule="auto"/>
      <w:jc w:val="left"/>
    </w:pPr>
    <w:rPr>
      <w:rFonts w:ascii="Liberation Serif" w:eastAsia="NSimSun" w:hAnsi="Liberation Serif" w:cs="Arial"/>
      <w:kern w:val="2"/>
      <w:sz w:val="24"/>
      <w:szCs w:val="24"/>
      <w:lang w:eastAsia="zh-CN" w:bidi="hi-IN"/>
    </w:rPr>
  </w:style>
  <w:style w:type="paragraph" w:styleId="NormalWeb">
    <w:name w:val="Normal (Web)"/>
    <w:basedOn w:val="Normal"/>
    <w:uiPriority w:val="99"/>
    <w:semiHidden/>
    <w:unhideWhenUsed/>
    <w:rsid w:val="005D1398"/>
    <w:pPr>
      <w:jc w:val="left"/>
    </w:pPr>
    <w:rPr>
      <w:rFonts w:ascii="Times New Roman" w:eastAsiaTheme="minorHAnsi" w:hAnsi="Times New Roman" w:cs="Times New Roman"/>
      <w:sz w:val="24"/>
      <w:szCs w:val="24"/>
    </w:rPr>
  </w:style>
  <w:style w:type="character" w:customStyle="1" w:styleId="e24kjd">
    <w:name w:val="e24kjd"/>
    <w:basedOn w:val="Policepardfaut"/>
    <w:rsid w:val="009A7EAA"/>
  </w:style>
  <w:style w:type="character" w:styleId="Marquedecommentaire">
    <w:name w:val="annotation reference"/>
    <w:basedOn w:val="Policepardfaut"/>
    <w:uiPriority w:val="99"/>
    <w:semiHidden/>
    <w:unhideWhenUsed/>
    <w:rsid w:val="009A7EAA"/>
    <w:rPr>
      <w:sz w:val="16"/>
      <w:szCs w:val="16"/>
    </w:rPr>
  </w:style>
  <w:style w:type="paragraph" w:styleId="Commentaire">
    <w:name w:val="annotation text"/>
    <w:basedOn w:val="Normal"/>
    <w:link w:val="CommentaireCar"/>
    <w:uiPriority w:val="99"/>
    <w:semiHidden/>
    <w:unhideWhenUsed/>
    <w:rsid w:val="009A7EAA"/>
    <w:pPr>
      <w:spacing w:line="240" w:lineRule="auto"/>
    </w:pPr>
    <w:rPr>
      <w:sz w:val="20"/>
      <w:szCs w:val="20"/>
    </w:rPr>
  </w:style>
  <w:style w:type="character" w:customStyle="1" w:styleId="CommentaireCar">
    <w:name w:val="Commentaire Car"/>
    <w:basedOn w:val="Policepardfaut"/>
    <w:link w:val="Commentaire"/>
    <w:uiPriority w:val="99"/>
    <w:semiHidden/>
    <w:rsid w:val="009A7EAA"/>
    <w:rPr>
      <w:rFonts w:asciiTheme="minorHAnsi" w:hAnsiTheme="minorHAnsi" w:cstheme="minorHAnsi"/>
      <w:lang w:eastAsia="en-US"/>
    </w:rPr>
  </w:style>
  <w:style w:type="paragraph" w:styleId="Objetducommentaire">
    <w:name w:val="annotation subject"/>
    <w:basedOn w:val="Commentaire"/>
    <w:next w:val="Commentaire"/>
    <w:link w:val="ObjetducommentaireCar"/>
    <w:uiPriority w:val="99"/>
    <w:semiHidden/>
    <w:unhideWhenUsed/>
    <w:rsid w:val="009A7EAA"/>
    <w:rPr>
      <w:b/>
      <w:bCs/>
    </w:rPr>
  </w:style>
  <w:style w:type="character" w:customStyle="1" w:styleId="ObjetducommentaireCar">
    <w:name w:val="Objet du commentaire Car"/>
    <w:basedOn w:val="CommentaireCar"/>
    <w:link w:val="Objetducommentaire"/>
    <w:uiPriority w:val="99"/>
    <w:semiHidden/>
    <w:rsid w:val="009A7EAA"/>
    <w:rPr>
      <w:rFonts w:asciiTheme="minorHAnsi" w:hAnsiTheme="minorHAnsi" w:cstheme="minorHAnsi"/>
      <w:b/>
      <w:bCs/>
      <w:lang w:eastAsia="en-US"/>
    </w:rPr>
  </w:style>
  <w:style w:type="paragraph" w:customStyle="1" w:styleId="Txtcourant">
    <w:name w:val="Txt_courant"/>
    <w:basedOn w:val="Normal"/>
    <w:uiPriority w:val="99"/>
    <w:rsid w:val="001E63E0"/>
    <w:pPr>
      <w:widowControl w:val="0"/>
      <w:autoSpaceDE w:val="0"/>
      <w:autoSpaceDN w:val="0"/>
      <w:adjustRightInd w:val="0"/>
      <w:spacing w:after="0" w:line="280" w:lineRule="atLeast"/>
      <w:ind w:left="448"/>
      <w:jc w:val="left"/>
    </w:pPr>
    <w:rPr>
      <w:rFonts w:ascii="Arial" w:eastAsia="Times New Roman" w:hAnsi="Arial" w:cs="Arial"/>
      <w:color w:val="000000"/>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8749525">
      <w:bodyDiv w:val="1"/>
      <w:marLeft w:val="0"/>
      <w:marRight w:val="0"/>
      <w:marTop w:val="0"/>
      <w:marBottom w:val="0"/>
      <w:divBdr>
        <w:top w:val="none" w:sz="0" w:space="0" w:color="auto"/>
        <w:left w:val="none" w:sz="0" w:space="0" w:color="auto"/>
        <w:bottom w:val="none" w:sz="0" w:space="0" w:color="auto"/>
        <w:right w:val="none" w:sz="0" w:space="0" w:color="auto"/>
      </w:divBdr>
    </w:div>
    <w:div w:id="581598749">
      <w:bodyDiv w:val="1"/>
      <w:marLeft w:val="0"/>
      <w:marRight w:val="0"/>
      <w:marTop w:val="0"/>
      <w:marBottom w:val="0"/>
      <w:divBdr>
        <w:top w:val="none" w:sz="0" w:space="0" w:color="auto"/>
        <w:left w:val="none" w:sz="0" w:space="0" w:color="auto"/>
        <w:bottom w:val="none" w:sz="0" w:space="0" w:color="auto"/>
        <w:right w:val="none" w:sz="0" w:space="0" w:color="auto"/>
      </w:divBdr>
    </w:div>
    <w:div w:id="1575509266">
      <w:bodyDiv w:val="1"/>
      <w:marLeft w:val="0"/>
      <w:marRight w:val="0"/>
      <w:marTop w:val="0"/>
      <w:marBottom w:val="0"/>
      <w:divBdr>
        <w:top w:val="none" w:sz="0" w:space="0" w:color="auto"/>
        <w:left w:val="none" w:sz="0" w:space="0" w:color="auto"/>
        <w:bottom w:val="none" w:sz="0" w:space="0" w:color="auto"/>
        <w:right w:val="none" w:sz="0" w:space="0" w:color="auto"/>
      </w:divBdr>
    </w:div>
    <w:div w:id="1964341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1117</Words>
  <Characters>6145</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Groupe Albin Michel</Company>
  <LinksUpToDate>false</LinksUpToDate>
  <CharactersWithSpaces>7248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Emilie Moulart</dc:creator>
  <cp:lastModifiedBy>anne bonpain</cp:lastModifiedBy>
  <cp:revision>5</cp:revision>
  <dcterms:created xsi:type="dcterms:W3CDTF">2020-04-03T15:16:00Z</dcterms:created>
  <dcterms:modified xsi:type="dcterms:W3CDTF">2020-04-03T15:32:00Z</dcterms:modified>
</cp:coreProperties>
</file>