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FF00" w14:textId="77777777" w:rsidR="00EF1D5E" w:rsidRPr="001A6227" w:rsidRDefault="00EF1D5E" w:rsidP="00EF1D5E">
      <w:pPr>
        <w:jc w:val="center"/>
        <w:rPr>
          <w:rFonts w:ascii="Arial" w:hAnsi="Arial"/>
          <w:bCs/>
          <w:sz w:val="36"/>
          <w:szCs w:val="36"/>
        </w:rPr>
      </w:pPr>
      <w:r w:rsidRPr="001A6227">
        <w:rPr>
          <w:rFonts w:ascii="Arial" w:hAnsi="Arial"/>
          <w:bCs/>
          <w:sz w:val="36"/>
          <w:szCs w:val="36"/>
        </w:rPr>
        <w:t xml:space="preserve">BREVET DE TECHNICIEN SUPÉRIEUR </w:t>
      </w:r>
    </w:p>
    <w:p w14:paraId="1E524C10" w14:textId="77777777" w:rsidR="00EF1D5E" w:rsidRPr="001A6227" w:rsidRDefault="00EF1D5E" w:rsidP="00EF1D5E">
      <w:pPr>
        <w:autoSpaceDE w:val="0"/>
        <w:autoSpaceDN w:val="0"/>
        <w:adjustRightInd w:val="0"/>
        <w:jc w:val="center"/>
        <w:rPr>
          <w:rFonts w:ascii="Arial" w:eastAsia="PMingLiU" w:hAnsi="Arial" w:cs="Arial"/>
          <w:bCs/>
          <w:sz w:val="36"/>
          <w:szCs w:val="36"/>
          <w:lang w:eastAsia="zh-TW" w:bidi="he-IL"/>
        </w:rPr>
      </w:pPr>
      <w:r w:rsidRPr="001A6227">
        <w:rPr>
          <w:rFonts w:ascii="Arial" w:hAnsi="Arial"/>
          <w:bCs/>
          <w:sz w:val="36"/>
          <w:szCs w:val="36"/>
        </w:rPr>
        <w:t xml:space="preserve">GESTION DES TRANSPORTS ET LOGISTIQUE ASSOCIÉE </w:t>
      </w:r>
    </w:p>
    <w:p w14:paraId="563CC9F8" w14:textId="77777777" w:rsidR="00EF1D5E" w:rsidRPr="001A6227" w:rsidRDefault="00EF1D5E" w:rsidP="00EF1D5E">
      <w:pPr>
        <w:autoSpaceDE w:val="0"/>
        <w:autoSpaceDN w:val="0"/>
        <w:adjustRightInd w:val="0"/>
        <w:spacing w:after="0" w:line="240" w:lineRule="auto"/>
        <w:jc w:val="center"/>
        <w:rPr>
          <w:rFonts w:ascii="Arial" w:eastAsia="Calibri" w:hAnsi="Arial"/>
          <w:bCs/>
          <w:sz w:val="36"/>
          <w:szCs w:val="36"/>
        </w:rPr>
      </w:pPr>
      <w:r w:rsidRPr="001A6227">
        <w:rPr>
          <w:rFonts w:ascii="Arial" w:eastAsia="Calibri" w:hAnsi="Arial"/>
          <w:bCs/>
          <w:sz w:val="36"/>
          <w:szCs w:val="36"/>
        </w:rPr>
        <w:t>ÉPREUVE E52</w:t>
      </w:r>
    </w:p>
    <w:p w14:paraId="751D1CDC" w14:textId="77777777" w:rsidR="00EF1D5E" w:rsidRPr="001A6227" w:rsidRDefault="00EF1D5E" w:rsidP="00EF1D5E">
      <w:pPr>
        <w:autoSpaceDE w:val="0"/>
        <w:autoSpaceDN w:val="0"/>
        <w:adjustRightInd w:val="0"/>
        <w:spacing w:after="0" w:line="240" w:lineRule="auto"/>
        <w:rPr>
          <w:rFonts w:ascii="Arial" w:eastAsia="Calibri" w:hAnsi="Arial"/>
          <w:bCs/>
          <w:sz w:val="36"/>
          <w:szCs w:val="36"/>
        </w:rPr>
      </w:pPr>
    </w:p>
    <w:p w14:paraId="78E92818" w14:textId="77777777" w:rsidR="00EF1D5E" w:rsidRPr="001A6227" w:rsidRDefault="00EF1D5E" w:rsidP="00EF1D5E">
      <w:pPr>
        <w:autoSpaceDE w:val="0"/>
        <w:autoSpaceDN w:val="0"/>
        <w:adjustRightInd w:val="0"/>
        <w:spacing w:after="0" w:line="240" w:lineRule="auto"/>
        <w:jc w:val="center"/>
        <w:rPr>
          <w:rFonts w:ascii="Arial" w:eastAsia="Calibri" w:hAnsi="Arial"/>
          <w:bCs/>
          <w:sz w:val="36"/>
          <w:szCs w:val="36"/>
        </w:rPr>
      </w:pPr>
      <w:r w:rsidRPr="001A6227">
        <w:rPr>
          <w:rFonts w:ascii="Arial" w:eastAsia="Calibri" w:hAnsi="Arial"/>
          <w:bCs/>
          <w:sz w:val="36"/>
          <w:szCs w:val="36"/>
        </w:rPr>
        <w:t>ANALYSE DE LA PERFORMANCE D’UNE ACTIVITÉ DE TRANSPORT ET DE PRESTATIONS LOGISTIQUES</w:t>
      </w:r>
    </w:p>
    <w:p w14:paraId="23B40A72" w14:textId="77777777" w:rsidR="00EF1D5E" w:rsidRPr="001A6227" w:rsidRDefault="00EF1D5E" w:rsidP="00EF1D5E">
      <w:pPr>
        <w:autoSpaceDE w:val="0"/>
        <w:autoSpaceDN w:val="0"/>
        <w:adjustRightInd w:val="0"/>
        <w:spacing w:after="0" w:line="240" w:lineRule="auto"/>
        <w:rPr>
          <w:rFonts w:ascii="Arial" w:eastAsia="Calibri" w:hAnsi="Arial"/>
          <w:bCs/>
          <w:sz w:val="36"/>
          <w:szCs w:val="36"/>
        </w:rPr>
      </w:pPr>
    </w:p>
    <w:p w14:paraId="4D017647" w14:textId="77777777" w:rsidR="00EF1D5E" w:rsidRPr="001A6227" w:rsidRDefault="00EF1D5E" w:rsidP="00EF1D5E">
      <w:pPr>
        <w:autoSpaceDE w:val="0"/>
        <w:autoSpaceDN w:val="0"/>
        <w:adjustRightInd w:val="0"/>
        <w:jc w:val="center"/>
        <w:rPr>
          <w:rFonts w:ascii="Arial" w:eastAsia="PMingLiU" w:hAnsi="Arial"/>
          <w:bCs/>
          <w:sz w:val="36"/>
          <w:szCs w:val="36"/>
        </w:rPr>
      </w:pPr>
    </w:p>
    <w:p w14:paraId="4C236AD8" w14:textId="77777777" w:rsidR="00EF1D5E" w:rsidRPr="001A6227" w:rsidRDefault="00EF1D5E" w:rsidP="00EF1D5E">
      <w:pPr>
        <w:autoSpaceDE w:val="0"/>
        <w:autoSpaceDN w:val="0"/>
        <w:adjustRightInd w:val="0"/>
        <w:rPr>
          <w:rFonts w:ascii="Arial" w:hAnsi="Arial"/>
          <w:b/>
          <w:bCs/>
          <w:sz w:val="36"/>
          <w:szCs w:val="36"/>
        </w:rPr>
      </w:pPr>
    </w:p>
    <w:p w14:paraId="05C6AD46" w14:textId="77777777" w:rsidR="00EF1D5E" w:rsidRPr="001A6227" w:rsidRDefault="00EF1D5E" w:rsidP="00EF1D5E">
      <w:pPr>
        <w:autoSpaceDE w:val="0"/>
        <w:autoSpaceDN w:val="0"/>
        <w:adjustRightInd w:val="0"/>
        <w:jc w:val="center"/>
        <w:rPr>
          <w:rFonts w:ascii="Arial" w:hAnsi="Arial"/>
          <w:bCs/>
          <w:sz w:val="28"/>
          <w:szCs w:val="28"/>
        </w:rPr>
      </w:pPr>
    </w:p>
    <w:p w14:paraId="31F210E0" w14:textId="77777777" w:rsidR="00EF1D5E" w:rsidRPr="001A6227" w:rsidRDefault="00EF1D5E" w:rsidP="00EF1D5E">
      <w:pPr>
        <w:autoSpaceDE w:val="0"/>
        <w:autoSpaceDN w:val="0"/>
        <w:adjustRightInd w:val="0"/>
        <w:jc w:val="center"/>
        <w:rPr>
          <w:rFonts w:ascii="Arial" w:hAnsi="Arial"/>
          <w:sz w:val="28"/>
          <w:szCs w:val="28"/>
        </w:rPr>
      </w:pPr>
      <w:r w:rsidRPr="001A6227">
        <w:rPr>
          <w:rFonts w:ascii="Arial" w:hAnsi="Arial"/>
          <w:sz w:val="28"/>
          <w:szCs w:val="28"/>
        </w:rPr>
        <w:t>SESSION 2021</w:t>
      </w:r>
    </w:p>
    <w:p w14:paraId="2E7E2EED" w14:textId="77777777" w:rsidR="00EF1D5E" w:rsidRPr="001A6227" w:rsidRDefault="00EF1D5E" w:rsidP="00EF1D5E">
      <w:pPr>
        <w:pStyle w:val="Default"/>
        <w:jc w:val="center"/>
        <w:rPr>
          <w:color w:val="auto"/>
          <w:sz w:val="28"/>
          <w:szCs w:val="28"/>
        </w:rPr>
      </w:pPr>
    </w:p>
    <w:p w14:paraId="39DB13DD" w14:textId="77777777" w:rsidR="00EF1D5E" w:rsidRPr="001A6227" w:rsidRDefault="00EF1D5E" w:rsidP="00EF1D5E">
      <w:pPr>
        <w:pStyle w:val="Default"/>
        <w:jc w:val="center"/>
        <w:rPr>
          <w:color w:val="auto"/>
          <w:sz w:val="28"/>
          <w:szCs w:val="28"/>
        </w:rPr>
      </w:pPr>
    </w:p>
    <w:p w14:paraId="2495CFFE" w14:textId="77777777" w:rsidR="00EF1D5E" w:rsidRPr="001A6227" w:rsidRDefault="00EF1D5E" w:rsidP="00EF1D5E">
      <w:pPr>
        <w:autoSpaceDE w:val="0"/>
        <w:autoSpaceDN w:val="0"/>
        <w:adjustRightInd w:val="0"/>
        <w:spacing w:after="0" w:line="240" w:lineRule="auto"/>
        <w:jc w:val="center"/>
        <w:rPr>
          <w:rFonts w:ascii="Arial" w:eastAsia="Times New Roman" w:hAnsi="Arial"/>
          <w:bCs/>
          <w:sz w:val="28"/>
          <w:szCs w:val="28"/>
          <w:u w:val="single"/>
          <w:lang w:eastAsia="fr-FR"/>
        </w:rPr>
      </w:pPr>
      <w:r w:rsidRPr="001A6227">
        <w:rPr>
          <w:rFonts w:ascii="Arial" w:eastAsia="Times New Roman" w:hAnsi="Arial"/>
          <w:bCs/>
          <w:sz w:val="28"/>
          <w:szCs w:val="28"/>
          <w:u w:val="single"/>
          <w:lang w:eastAsia="fr-FR"/>
        </w:rPr>
        <w:t>ÉLÉMENTS DE CORRIGÉ ET BARÈME</w:t>
      </w:r>
    </w:p>
    <w:p w14:paraId="2258FA6C" w14:textId="77777777" w:rsidR="001A6227" w:rsidRPr="001A6227" w:rsidRDefault="001A6227" w:rsidP="00EF1D5E">
      <w:pPr>
        <w:autoSpaceDE w:val="0"/>
        <w:autoSpaceDN w:val="0"/>
        <w:adjustRightInd w:val="0"/>
        <w:spacing w:after="0" w:line="240" w:lineRule="auto"/>
        <w:jc w:val="center"/>
        <w:rPr>
          <w:rFonts w:ascii="Arial" w:eastAsia="Calibri" w:hAnsi="Arial"/>
          <w:sz w:val="24"/>
          <w:szCs w:val="24"/>
        </w:rPr>
      </w:pPr>
    </w:p>
    <w:p w14:paraId="4A8BCF16" w14:textId="77777777" w:rsidR="001A6227" w:rsidRPr="001A6227" w:rsidRDefault="001A6227" w:rsidP="001A6227">
      <w:pPr>
        <w:rPr>
          <w:rFonts w:ascii="Arial" w:hAnsi="Arial" w:cs="Arial"/>
          <w:sz w:val="24"/>
          <w:szCs w:val="24"/>
        </w:rPr>
      </w:pPr>
      <w:r w:rsidRPr="001A6227">
        <w:rPr>
          <w:rFonts w:ascii="Arial" w:hAnsi="Arial" w:cs="Arial"/>
          <w:sz w:val="24"/>
          <w:szCs w:val="24"/>
        </w:rPr>
        <w:t>Compétences évaluées</w:t>
      </w:r>
    </w:p>
    <w:tbl>
      <w:tblPr>
        <w:tblStyle w:val="Grilledutableau"/>
        <w:tblW w:w="0" w:type="auto"/>
        <w:tblLook w:val="04A0" w:firstRow="1" w:lastRow="0" w:firstColumn="1" w:lastColumn="0" w:noHBand="0" w:noVBand="1"/>
      </w:tblPr>
      <w:tblGrid>
        <w:gridCol w:w="3040"/>
        <w:gridCol w:w="4326"/>
        <w:gridCol w:w="1696"/>
      </w:tblGrid>
      <w:tr w:rsidR="001A6227" w:rsidRPr="001A6227" w14:paraId="5103130A" w14:textId="77777777" w:rsidTr="001A6227">
        <w:trPr>
          <w:trHeight w:val="567"/>
        </w:trPr>
        <w:tc>
          <w:tcPr>
            <w:tcW w:w="3040" w:type="dxa"/>
            <w:vAlign w:val="center"/>
          </w:tcPr>
          <w:p w14:paraId="70944E44" w14:textId="77777777" w:rsidR="001A6227" w:rsidRPr="001A6227" w:rsidRDefault="001A6227" w:rsidP="00355427">
            <w:pPr>
              <w:rPr>
                <w:rFonts w:ascii="Arial" w:hAnsi="Arial" w:cs="Arial"/>
                <w:sz w:val="24"/>
                <w:szCs w:val="24"/>
              </w:rPr>
            </w:pPr>
          </w:p>
        </w:tc>
        <w:tc>
          <w:tcPr>
            <w:tcW w:w="4326" w:type="dxa"/>
            <w:vAlign w:val="center"/>
          </w:tcPr>
          <w:p w14:paraId="048B674A" w14:textId="77777777" w:rsidR="001A6227" w:rsidRPr="001A6227" w:rsidRDefault="001A6227" w:rsidP="00355427">
            <w:pPr>
              <w:jc w:val="center"/>
              <w:rPr>
                <w:rFonts w:ascii="Arial" w:hAnsi="Arial" w:cs="Arial"/>
                <w:sz w:val="24"/>
                <w:szCs w:val="24"/>
              </w:rPr>
            </w:pPr>
            <w:r w:rsidRPr="001A6227">
              <w:rPr>
                <w:rFonts w:ascii="Arial" w:hAnsi="Arial" w:cs="Arial"/>
                <w:sz w:val="24"/>
                <w:szCs w:val="24"/>
              </w:rPr>
              <w:t>Compétences évaluées</w:t>
            </w:r>
          </w:p>
        </w:tc>
        <w:tc>
          <w:tcPr>
            <w:tcW w:w="1696" w:type="dxa"/>
          </w:tcPr>
          <w:p w14:paraId="73063A9A" w14:textId="77777777" w:rsidR="001A6227" w:rsidRPr="001A6227" w:rsidRDefault="001A6227" w:rsidP="00355427">
            <w:pPr>
              <w:jc w:val="center"/>
              <w:rPr>
                <w:rFonts w:ascii="Arial" w:hAnsi="Arial" w:cs="Arial"/>
                <w:sz w:val="24"/>
                <w:szCs w:val="24"/>
              </w:rPr>
            </w:pPr>
          </w:p>
        </w:tc>
      </w:tr>
      <w:tr w:rsidR="001A6227" w:rsidRPr="001A6227" w14:paraId="55CEF65E" w14:textId="77777777" w:rsidTr="001A6227">
        <w:trPr>
          <w:trHeight w:val="567"/>
        </w:trPr>
        <w:tc>
          <w:tcPr>
            <w:tcW w:w="3040" w:type="dxa"/>
            <w:vAlign w:val="center"/>
          </w:tcPr>
          <w:p w14:paraId="7DFE5273" w14:textId="77777777" w:rsidR="001A6227" w:rsidRPr="001A6227" w:rsidRDefault="001A6227" w:rsidP="00355427">
            <w:pPr>
              <w:rPr>
                <w:rFonts w:ascii="Arial" w:hAnsi="Arial" w:cs="Arial"/>
                <w:sz w:val="24"/>
                <w:szCs w:val="24"/>
              </w:rPr>
            </w:pPr>
            <w:r w:rsidRPr="001A6227">
              <w:rPr>
                <w:rFonts w:ascii="Arial" w:hAnsi="Arial" w:cs="Arial"/>
                <w:sz w:val="24"/>
                <w:szCs w:val="24"/>
              </w:rPr>
              <w:t>Dossier 1</w:t>
            </w:r>
          </w:p>
        </w:tc>
        <w:tc>
          <w:tcPr>
            <w:tcW w:w="4326" w:type="dxa"/>
            <w:vAlign w:val="center"/>
          </w:tcPr>
          <w:p w14:paraId="20AE1498" w14:textId="77777777" w:rsidR="001A6227" w:rsidRPr="001A6227" w:rsidRDefault="001A6227" w:rsidP="00355427">
            <w:pPr>
              <w:rPr>
                <w:rFonts w:ascii="Arial" w:hAnsi="Arial" w:cs="Arial"/>
                <w:sz w:val="24"/>
                <w:szCs w:val="24"/>
              </w:rPr>
            </w:pPr>
            <w:r w:rsidRPr="001A6227">
              <w:rPr>
                <w:rFonts w:ascii="Arial" w:hAnsi="Arial" w:cs="Arial"/>
                <w:sz w:val="24"/>
                <w:szCs w:val="24"/>
              </w:rPr>
              <w:t>Résoudre un litige</w:t>
            </w:r>
          </w:p>
        </w:tc>
        <w:tc>
          <w:tcPr>
            <w:tcW w:w="1696" w:type="dxa"/>
          </w:tcPr>
          <w:p w14:paraId="5158C6C9" w14:textId="77777777" w:rsidR="001A6227" w:rsidRPr="001A6227" w:rsidRDefault="001A6227" w:rsidP="001A6227">
            <w:pPr>
              <w:jc w:val="center"/>
              <w:rPr>
                <w:rFonts w:ascii="Arial" w:hAnsi="Arial" w:cs="Arial"/>
                <w:b/>
                <w:sz w:val="24"/>
                <w:szCs w:val="24"/>
              </w:rPr>
            </w:pPr>
            <w:r w:rsidRPr="001A6227">
              <w:rPr>
                <w:rFonts w:ascii="Arial" w:hAnsi="Arial" w:cs="Arial"/>
                <w:b/>
                <w:sz w:val="24"/>
                <w:szCs w:val="24"/>
              </w:rPr>
              <w:t>26 POINTS</w:t>
            </w:r>
          </w:p>
        </w:tc>
      </w:tr>
      <w:tr w:rsidR="001A6227" w:rsidRPr="001A6227" w14:paraId="0FA95850" w14:textId="77777777" w:rsidTr="001A6227">
        <w:trPr>
          <w:trHeight w:val="567"/>
        </w:trPr>
        <w:tc>
          <w:tcPr>
            <w:tcW w:w="3040" w:type="dxa"/>
            <w:vAlign w:val="center"/>
          </w:tcPr>
          <w:p w14:paraId="7FCE5CD2" w14:textId="77777777" w:rsidR="001A6227" w:rsidRPr="001A6227" w:rsidRDefault="001A6227" w:rsidP="00355427">
            <w:pPr>
              <w:rPr>
                <w:rFonts w:ascii="Arial" w:hAnsi="Arial" w:cs="Arial"/>
                <w:sz w:val="24"/>
                <w:szCs w:val="24"/>
              </w:rPr>
            </w:pPr>
            <w:r w:rsidRPr="001A6227">
              <w:rPr>
                <w:rFonts w:ascii="Arial" w:hAnsi="Arial" w:cs="Arial"/>
                <w:sz w:val="24"/>
                <w:szCs w:val="24"/>
              </w:rPr>
              <w:t>Dossier 2</w:t>
            </w:r>
          </w:p>
        </w:tc>
        <w:tc>
          <w:tcPr>
            <w:tcW w:w="4326" w:type="dxa"/>
            <w:vAlign w:val="center"/>
          </w:tcPr>
          <w:p w14:paraId="2ACBDAFA" w14:textId="77777777" w:rsidR="001A6227" w:rsidRPr="001A6227" w:rsidRDefault="001A6227" w:rsidP="00355427">
            <w:pPr>
              <w:rPr>
                <w:rFonts w:ascii="Arial" w:hAnsi="Arial" w:cs="Arial"/>
                <w:sz w:val="24"/>
                <w:szCs w:val="24"/>
              </w:rPr>
            </w:pPr>
            <w:r w:rsidRPr="001A6227">
              <w:rPr>
                <w:rFonts w:ascii="Arial" w:hAnsi="Arial" w:cs="Arial"/>
                <w:sz w:val="24"/>
                <w:szCs w:val="24"/>
              </w:rPr>
              <w:t>Analyser et interpréter des indicateurs</w:t>
            </w:r>
          </w:p>
          <w:p w14:paraId="699C77DE" w14:textId="77777777" w:rsidR="001A6227" w:rsidRPr="001A6227" w:rsidRDefault="001A6227" w:rsidP="00355427">
            <w:pPr>
              <w:rPr>
                <w:rFonts w:ascii="Arial" w:hAnsi="Arial" w:cs="Arial"/>
                <w:sz w:val="24"/>
                <w:szCs w:val="24"/>
              </w:rPr>
            </w:pPr>
            <w:r w:rsidRPr="001A6227">
              <w:rPr>
                <w:rFonts w:ascii="Arial" w:hAnsi="Arial" w:cs="Arial"/>
                <w:sz w:val="24"/>
                <w:szCs w:val="24"/>
              </w:rPr>
              <w:t>Proposer des actions correctives</w:t>
            </w:r>
          </w:p>
        </w:tc>
        <w:tc>
          <w:tcPr>
            <w:tcW w:w="1696" w:type="dxa"/>
          </w:tcPr>
          <w:p w14:paraId="32AF71B1" w14:textId="77777777" w:rsidR="001A6227" w:rsidRPr="001A6227" w:rsidRDefault="001A6227" w:rsidP="001A6227">
            <w:pPr>
              <w:jc w:val="center"/>
              <w:rPr>
                <w:rFonts w:ascii="Arial" w:hAnsi="Arial" w:cs="Arial"/>
                <w:b/>
                <w:sz w:val="24"/>
                <w:szCs w:val="24"/>
              </w:rPr>
            </w:pPr>
            <w:r w:rsidRPr="001A6227">
              <w:rPr>
                <w:rFonts w:ascii="Arial" w:hAnsi="Arial" w:cs="Arial"/>
                <w:b/>
                <w:sz w:val="24"/>
                <w:szCs w:val="24"/>
              </w:rPr>
              <w:t>24 POINTS</w:t>
            </w:r>
          </w:p>
        </w:tc>
      </w:tr>
      <w:tr w:rsidR="001A6227" w:rsidRPr="001A6227" w14:paraId="7868E460" w14:textId="77777777" w:rsidTr="001A6227">
        <w:trPr>
          <w:trHeight w:val="567"/>
        </w:trPr>
        <w:tc>
          <w:tcPr>
            <w:tcW w:w="3040" w:type="dxa"/>
            <w:vAlign w:val="center"/>
          </w:tcPr>
          <w:p w14:paraId="6EADB3B3" w14:textId="77777777" w:rsidR="001A6227" w:rsidRPr="001A6227" w:rsidRDefault="001A6227" w:rsidP="00355427">
            <w:pPr>
              <w:rPr>
                <w:rFonts w:ascii="Arial" w:hAnsi="Arial" w:cs="Arial"/>
                <w:sz w:val="24"/>
                <w:szCs w:val="24"/>
              </w:rPr>
            </w:pPr>
            <w:r w:rsidRPr="001A6227">
              <w:rPr>
                <w:rFonts w:ascii="Arial" w:hAnsi="Arial" w:cs="Arial"/>
                <w:sz w:val="24"/>
                <w:szCs w:val="24"/>
              </w:rPr>
              <w:t>Dossier 3</w:t>
            </w:r>
          </w:p>
        </w:tc>
        <w:tc>
          <w:tcPr>
            <w:tcW w:w="4326" w:type="dxa"/>
            <w:vAlign w:val="center"/>
          </w:tcPr>
          <w:p w14:paraId="18D3D48A" w14:textId="77777777" w:rsidR="001A6227" w:rsidRPr="001A6227" w:rsidRDefault="001A6227" w:rsidP="00355427">
            <w:pPr>
              <w:rPr>
                <w:rFonts w:ascii="Arial" w:hAnsi="Arial" w:cs="Arial"/>
                <w:sz w:val="24"/>
                <w:szCs w:val="24"/>
              </w:rPr>
            </w:pPr>
            <w:r w:rsidRPr="001A6227">
              <w:rPr>
                <w:rFonts w:ascii="Arial" w:hAnsi="Arial" w:cs="Arial"/>
                <w:sz w:val="24"/>
                <w:szCs w:val="24"/>
              </w:rPr>
              <w:t>Analyser le bilan et le compte de résultat</w:t>
            </w:r>
          </w:p>
        </w:tc>
        <w:tc>
          <w:tcPr>
            <w:tcW w:w="1696" w:type="dxa"/>
          </w:tcPr>
          <w:p w14:paraId="118D6503" w14:textId="77777777" w:rsidR="001A6227" w:rsidRPr="001A6227" w:rsidRDefault="001A6227" w:rsidP="001A6227">
            <w:pPr>
              <w:jc w:val="center"/>
              <w:rPr>
                <w:rFonts w:ascii="Arial" w:hAnsi="Arial" w:cs="Arial"/>
                <w:b/>
                <w:sz w:val="24"/>
                <w:szCs w:val="24"/>
              </w:rPr>
            </w:pPr>
            <w:r w:rsidRPr="001A6227">
              <w:rPr>
                <w:rFonts w:ascii="Arial" w:hAnsi="Arial" w:cs="Arial"/>
                <w:b/>
                <w:sz w:val="24"/>
                <w:szCs w:val="24"/>
              </w:rPr>
              <w:t>30 POINTS</w:t>
            </w:r>
          </w:p>
        </w:tc>
      </w:tr>
    </w:tbl>
    <w:p w14:paraId="6B0E313B" w14:textId="77777777" w:rsidR="00EF1D5E" w:rsidRPr="001A6227" w:rsidRDefault="00EF1D5E">
      <w:pPr>
        <w:rPr>
          <w:rFonts w:ascii="Arial" w:hAnsi="Arial" w:cs="Arial"/>
          <w:sz w:val="24"/>
          <w:szCs w:val="24"/>
        </w:rPr>
      </w:pPr>
    </w:p>
    <w:p w14:paraId="1A83961A" w14:textId="77777777" w:rsidR="00EF1D5E" w:rsidRPr="001A6227" w:rsidRDefault="00EF1D5E">
      <w:pPr>
        <w:rPr>
          <w:rFonts w:ascii="Arial" w:hAnsi="Arial" w:cs="Arial"/>
          <w:sz w:val="24"/>
          <w:szCs w:val="24"/>
        </w:rPr>
      </w:pPr>
      <w:r w:rsidRPr="001A6227">
        <w:rPr>
          <w:rFonts w:ascii="Arial" w:hAnsi="Arial" w:cs="Arial"/>
          <w:sz w:val="24"/>
          <w:szCs w:val="24"/>
        </w:rPr>
        <w:br w:type="page"/>
      </w:r>
    </w:p>
    <w:p w14:paraId="45222C0D" w14:textId="77777777" w:rsidR="00413818" w:rsidRPr="001A6227" w:rsidRDefault="00BA03F1">
      <w:pPr>
        <w:rPr>
          <w:rFonts w:ascii="Arial" w:hAnsi="Arial" w:cs="Arial"/>
          <w:b/>
        </w:rPr>
      </w:pPr>
      <w:r w:rsidRPr="001A6227">
        <w:rPr>
          <w:rFonts w:ascii="Arial" w:hAnsi="Arial" w:cs="Arial"/>
          <w:b/>
        </w:rPr>
        <w:lastRenderedPageBreak/>
        <w:t>DOSSIER 1 – CHERDAS</w:t>
      </w:r>
      <w:r w:rsidR="00224379" w:rsidRPr="001A6227">
        <w:rPr>
          <w:rFonts w:ascii="Arial" w:hAnsi="Arial" w:cs="Arial"/>
          <w:b/>
        </w:rPr>
        <w:tab/>
      </w:r>
      <w:r w:rsidR="00224379" w:rsidRPr="001A6227">
        <w:rPr>
          <w:rFonts w:ascii="Arial" w:hAnsi="Arial" w:cs="Arial"/>
          <w:b/>
        </w:rPr>
        <w:tab/>
        <w:t xml:space="preserve"> 26 points</w:t>
      </w:r>
    </w:p>
    <w:p w14:paraId="4B00C8F0" w14:textId="3F6F07A3" w:rsidR="00BA03F1" w:rsidRPr="001A6227" w:rsidRDefault="00BA03F1" w:rsidP="00BA03F1">
      <w:pPr>
        <w:pStyle w:val="Paragraphedeliste"/>
        <w:numPr>
          <w:ilvl w:val="0"/>
          <w:numId w:val="1"/>
        </w:numPr>
        <w:spacing w:line="240" w:lineRule="auto"/>
        <w:rPr>
          <w:rFonts w:ascii="Arial" w:hAnsi="Arial" w:cs="Arial"/>
          <w:b/>
        </w:rPr>
      </w:pPr>
      <w:r w:rsidRPr="001A6227">
        <w:rPr>
          <w:rFonts w:ascii="Arial" w:hAnsi="Arial" w:cs="Arial"/>
          <w:b/>
        </w:rPr>
        <w:t xml:space="preserve">Déterminez si la responsabilité de </w:t>
      </w:r>
      <w:proofErr w:type="spellStart"/>
      <w:r w:rsidRPr="001A6227">
        <w:rPr>
          <w:rFonts w:ascii="Arial" w:hAnsi="Arial" w:cs="Arial"/>
          <w:b/>
        </w:rPr>
        <w:t>Cherdas</w:t>
      </w:r>
      <w:proofErr w:type="spellEnd"/>
      <w:r w:rsidRPr="001A6227">
        <w:rPr>
          <w:rFonts w:ascii="Arial" w:hAnsi="Arial" w:cs="Arial"/>
          <w:b/>
        </w:rPr>
        <w:t xml:space="preserve"> est engagée (en argumentant votre réponse).</w:t>
      </w:r>
      <w:r w:rsidR="00D702CB">
        <w:rPr>
          <w:rFonts w:ascii="Arial" w:hAnsi="Arial" w:cs="Arial"/>
          <w:b/>
        </w:rPr>
        <w:t xml:space="preserve"> </w:t>
      </w:r>
      <w:r w:rsidR="00D702CB" w:rsidRPr="00D702CB">
        <w:rPr>
          <w:rFonts w:ascii="Arial" w:hAnsi="Arial" w:cs="Arial"/>
          <w:b/>
          <w:highlight w:val="yellow"/>
        </w:rPr>
        <w:t>7 points</w:t>
      </w:r>
    </w:p>
    <w:p w14:paraId="78296D56" w14:textId="77777777" w:rsidR="00BA03F1" w:rsidRPr="001A6227" w:rsidRDefault="00BA03F1" w:rsidP="00BA03F1">
      <w:pPr>
        <w:pStyle w:val="Paragraphedeliste"/>
        <w:spacing w:line="240" w:lineRule="auto"/>
        <w:rPr>
          <w:rFonts w:ascii="Arial" w:hAnsi="Arial" w:cs="Arial"/>
        </w:rPr>
      </w:pPr>
    </w:p>
    <w:p w14:paraId="68546763" w14:textId="6D820839" w:rsidR="00BA03F1" w:rsidRPr="004C3B93" w:rsidRDefault="00BA03F1" w:rsidP="00BA03F1">
      <w:pPr>
        <w:spacing w:line="240" w:lineRule="auto"/>
        <w:jc w:val="both"/>
        <w:rPr>
          <w:rFonts w:ascii="Arial" w:hAnsi="Arial" w:cs="Arial"/>
        </w:rPr>
      </w:pPr>
      <w:r w:rsidRPr="001A6227">
        <w:rPr>
          <w:rFonts w:ascii="Arial" w:hAnsi="Arial" w:cs="Arial"/>
          <w:b/>
        </w:rPr>
        <w:t>Principe </w:t>
      </w:r>
      <w:r w:rsidRPr="001A6227">
        <w:rPr>
          <w:rFonts w:ascii="Arial" w:hAnsi="Arial" w:cs="Arial"/>
        </w:rPr>
        <w:t>: le transporteur est présumé responsable de la prise en charge de la marchandise jusqu’à la livraison des marchandises</w:t>
      </w:r>
      <w:r w:rsidR="00D702CB">
        <w:rPr>
          <w:rFonts w:ascii="Arial" w:hAnsi="Arial" w:cs="Arial"/>
        </w:rPr>
        <w:t>.</w:t>
      </w:r>
    </w:p>
    <w:p w14:paraId="090F3794" w14:textId="255E507B" w:rsidR="00BA03F1" w:rsidRPr="001A6227" w:rsidRDefault="00BA03F1" w:rsidP="00BA03F1">
      <w:pPr>
        <w:spacing w:line="240" w:lineRule="auto"/>
        <w:jc w:val="both"/>
        <w:rPr>
          <w:rFonts w:ascii="Arial" w:hAnsi="Arial" w:cs="Arial"/>
        </w:rPr>
      </w:pPr>
      <w:r w:rsidRPr="001A6227">
        <w:rPr>
          <w:rFonts w:ascii="Arial" w:hAnsi="Arial" w:cs="Arial"/>
        </w:rPr>
        <w:t xml:space="preserve">À la prise en charge des 4 palettes chez EMINENT PRODUCTION le conducteur de la société </w:t>
      </w:r>
      <w:proofErr w:type="spellStart"/>
      <w:r w:rsidRPr="001A6227">
        <w:rPr>
          <w:rFonts w:ascii="Arial" w:hAnsi="Arial" w:cs="Arial"/>
        </w:rPr>
        <w:t>Cherdas</w:t>
      </w:r>
      <w:proofErr w:type="spellEnd"/>
      <w:r w:rsidRPr="001A6227">
        <w:rPr>
          <w:rFonts w:ascii="Arial" w:hAnsi="Arial" w:cs="Arial"/>
        </w:rPr>
        <w:t xml:space="preserve"> n’émet aucune réserve (annexe 2)</w:t>
      </w:r>
      <w:r w:rsidR="0082278C" w:rsidRPr="001A6227">
        <w:rPr>
          <w:rFonts w:ascii="Arial" w:hAnsi="Arial" w:cs="Arial"/>
        </w:rPr>
        <w:t xml:space="preserve">. </w:t>
      </w:r>
      <w:r w:rsidR="009076B9">
        <w:rPr>
          <w:rFonts w:ascii="Arial" w:hAnsi="Arial" w:cs="Arial"/>
        </w:rPr>
        <w:t xml:space="preserve"> </w:t>
      </w:r>
    </w:p>
    <w:p w14:paraId="27D3F0D9" w14:textId="31C6788E" w:rsidR="00BA03F1" w:rsidRPr="001A6227" w:rsidRDefault="00BA03F1" w:rsidP="00BA03F1">
      <w:pPr>
        <w:spacing w:line="240" w:lineRule="auto"/>
        <w:jc w:val="both"/>
        <w:rPr>
          <w:rFonts w:ascii="Arial" w:hAnsi="Arial" w:cs="Arial"/>
        </w:rPr>
      </w:pPr>
      <w:r w:rsidRPr="001A6227">
        <w:rPr>
          <w:rFonts w:ascii="Arial" w:hAnsi="Arial" w:cs="Arial"/>
        </w:rPr>
        <w:t>À l’arrivée le destinataire société REC relève des anomalies et porte des réserves précises et motivées sur le document de transport en indiquant « </w:t>
      </w:r>
      <w:r w:rsidRPr="001A6227">
        <w:rPr>
          <w:rFonts w:ascii="Arial" w:hAnsi="Arial" w:cs="Arial"/>
          <w:i/>
          <w:iCs/>
        </w:rPr>
        <w:t>203 boîtes manquent</w:t>
      </w:r>
      <w:r w:rsidR="00D702CB">
        <w:rPr>
          <w:rFonts w:ascii="Arial" w:hAnsi="Arial" w:cs="Arial"/>
        </w:rPr>
        <w:t> »</w:t>
      </w:r>
      <w:r w:rsidR="009076B9" w:rsidRPr="009076B9">
        <w:rPr>
          <w:rFonts w:ascii="Arial" w:hAnsi="Arial" w:cs="Arial"/>
          <w:sz w:val="16"/>
        </w:rPr>
        <w:t xml:space="preserve"> </w:t>
      </w:r>
    </w:p>
    <w:p w14:paraId="08CB84A2" w14:textId="062C91ED" w:rsidR="00BA03F1" w:rsidRPr="001A6227" w:rsidRDefault="00BA03F1" w:rsidP="00BA03F1">
      <w:pPr>
        <w:spacing w:line="240" w:lineRule="auto"/>
        <w:jc w:val="both"/>
        <w:rPr>
          <w:rFonts w:ascii="Arial" w:hAnsi="Arial" w:cs="Arial"/>
        </w:rPr>
      </w:pPr>
      <w:r w:rsidRPr="001A6227">
        <w:rPr>
          <w:rFonts w:ascii="Arial" w:hAnsi="Arial" w:cs="Arial"/>
        </w:rPr>
        <w:t>Le problème a bien lieu pendant le transport, le transporteur est donc présumé responsable, à moins qu’il ne puisse invoquer une cause d’exonération</w:t>
      </w:r>
    </w:p>
    <w:p w14:paraId="02ABFF7D" w14:textId="0894A1A9" w:rsidR="00BA03F1" w:rsidRPr="001A6227" w:rsidRDefault="00BA03F1" w:rsidP="00BA03F1">
      <w:pPr>
        <w:spacing w:line="240" w:lineRule="auto"/>
        <w:jc w:val="both"/>
        <w:rPr>
          <w:rFonts w:ascii="Arial" w:hAnsi="Arial" w:cs="Arial"/>
        </w:rPr>
      </w:pPr>
      <w:r w:rsidRPr="001A6227">
        <w:rPr>
          <w:rFonts w:ascii="Arial" w:hAnsi="Arial" w:cs="Arial"/>
        </w:rPr>
        <w:t>Ici, il s’agit de 203 boites manquantes nous pouvons exclure la force majeure, le vice propre de la chose et la faute d’un tiers (aucune réserve au départ).</w:t>
      </w:r>
    </w:p>
    <w:p w14:paraId="1B752093" w14:textId="5984E849" w:rsidR="00BA03F1" w:rsidRPr="004C3B93" w:rsidRDefault="00BA03F1" w:rsidP="00BA03F1">
      <w:pPr>
        <w:spacing w:line="240" w:lineRule="auto"/>
        <w:jc w:val="both"/>
        <w:rPr>
          <w:rFonts w:ascii="Arial" w:hAnsi="Arial" w:cs="Arial"/>
        </w:rPr>
      </w:pPr>
      <w:r w:rsidRPr="001A6227">
        <w:rPr>
          <w:rFonts w:ascii="Arial" w:hAnsi="Arial" w:cs="Arial"/>
          <w:b/>
        </w:rPr>
        <w:t>La responsabilité du transporteur est engagée.</w:t>
      </w:r>
    </w:p>
    <w:p w14:paraId="776F69CA" w14:textId="77777777" w:rsidR="00BA03F1" w:rsidRPr="001A6227" w:rsidRDefault="00BA03F1" w:rsidP="00BA03F1">
      <w:pPr>
        <w:spacing w:after="0" w:line="240" w:lineRule="auto"/>
        <w:rPr>
          <w:rFonts w:ascii="Arial" w:hAnsi="Arial" w:cs="Arial"/>
        </w:rPr>
      </w:pPr>
    </w:p>
    <w:p w14:paraId="083A58AE" w14:textId="74EDC354" w:rsidR="00BA03F1" w:rsidRPr="001A6227" w:rsidRDefault="00BA03F1" w:rsidP="00BA03F1">
      <w:pPr>
        <w:pStyle w:val="Paragraphedeliste"/>
        <w:numPr>
          <w:ilvl w:val="0"/>
          <w:numId w:val="1"/>
        </w:numPr>
        <w:spacing w:line="240" w:lineRule="auto"/>
        <w:rPr>
          <w:rFonts w:ascii="Arial" w:hAnsi="Arial" w:cs="Arial"/>
          <w:b/>
        </w:rPr>
      </w:pPr>
      <w:r w:rsidRPr="001A6227">
        <w:rPr>
          <w:rFonts w:ascii="Arial" w:hAnsi="Arial" w:cs="Arial"/>
          <w:b/>
        </w:rPr>
        <w:t>Dans l’affirmatif traitez le litige de façon méthodique.</w:t>
      </w:r>
      <w:r w:rsidR="00F329C5" w:rsidRPr="001A6227">
        <w:rPr>
          <w:rFonts w:ascii="Arial" w:hAnsi="Arial" w:cs="Arial"/>
          <w:b/>
        </w:rPr>
        <w:tab/>
      </w:r>
      <w:r w:rsidR="00D702CB">
        <w:rPr>
          <w:rFonts w:ascii="Arial" w:hAnsi="Arial" w:cs="Arial"/>
          <w:b/>
        </w:rPr>
        <w:t xml:space="preserve"> </w:t>
      </w:r>
      <w:r w:rsidR="00D702CB" w:rsidRPr="00D702CB">
        <w:rPr>
          <w:rFonts w:ascii="Arial" w:hAnsi="Arial" w:cs="Arial"/>
          <w:b/>
          <w:highlight w:val="yellow"/>
        </w:rPr>
        <w:t>9 points</w:t>
      </w:r>
    </w:p>
    <w:p w14:paraId="4168CD13" w14:textId="77777777" w:rsidR="00BA03F1" w:rsidRPr="001A6227" w:rsidRDefault="00BA03F1" w:rsidP="00BA03F1">
      <w:pPr>
        <w:spacing w:line="240" w:lineRule="auto"/>
        <w:rPr>
          <w:rFonts w:ascii="Arial" w:hAnsi="Arial" w:cs="Arial"/>
        </w:rPr>
      </w:pPr>
    </w:p>
    <w:p w14:paraId="6C901EC7" w14:textId="77777777" w:rsidR="00BA03F1" w:rsidRPr="001A6227" w:rsidRDefault="00A30A10" w:rsidP="000D44B3">
      <w:pPr>
        <w:spacing w:line="240" w:lineRule="auto"/>
        <w:jc w:val="both"/>
        <w:rPr>
          <w:rFonts w:ascii="Arial" w:hAnsi="Arial" w:cs="Arial"/>
        </w:rPr>
      </w:pPr>
      <w:r w:rsidRPr="001A6227">
        <w:rPr>
          <w:rFonts w:ascii="Arial" w:hAnsi="Arial" w:cs="Arial"/>
          <w:b/>
        </w:rPr>
        <w:t xml:space="preserve">Qualification </w:t>
      </w:r>
      <w:r w:rsidRPr="001A6227">
        <w:rPr>
          <w:rFonts w:ascii="Arial" w:hAnsi="Arial" w:cs="Arial"/>
        </w:rPr>
        <w:t>du litige = manquant partiel</w:t>
      </w:r>
    </w:p>
    <w:p w14:paraId="6FF9A011" w14:textId="77777777" w:rsidR="00A30A10" w:rsidRPr="001A6227" w:rsidRDefault="00A30A10" w:rsidP="000D44B3">
      <w:pPr>
        <w:spacing w:line="240" w:lineRule="auto"/>
        <w:jc w:val="both"/>
        <w:rPr>
          <w:rFonts w:ascii="Arial" w:hAnsi="Arial" w:cs="Arial"/>
        </w:rPr>
      </w:pPr>
      <w:r w:rsidRPr="001A6227">
        <w:rPr>
          <w:rFonts w:ascii="Arial" w:hAnsi="Arial" w:cs="Arial"/>
          <w:b/>
        </w:rPr>
        <w:t>Type de transport</w:t>
      </w:r>
      <w:r w:rsidRPr="001A6227">
        <w:rPr>
          <w:rFonts w:ascii="Arial" w:hAnsi="Arial" w:cs="Arial"/>
        </w:rPr>
        <w:t xml:space="preserve"> = transport routier au départ des Pays Bas et à destination de la France = transport international</w:t>
      </w:r>
    </w:p>
    <w:p w14:paraId="5235332D" w14:textId="4E4E7BA3" w:rsidR="009076B9" w:rsidRPr="00D702CB" w:rsidRDefault="00A30A10" w:rsidP="009076B9">
      <w:pPr>
        <w:spacing w:line="240" w:lineRule="auto"/>
        <w:jc w:val="both"/>
        <w:rPr>
          <w:rFonts w:ascii="Arial" w:hAnsi="Arial" w:cs="Arial"/>
          <w:highlight w:val="yellow"/>
        </w:rPr>
      </w:pPr>
      <w:r w:rsidRPr="001A6227">
        <w:rPr>
          <w:rFonts w:ascii="Arial" w:hAnsi="Arial" w:cs="Arial"/>
          <w:b/>
        </w:rPr>
        <w:t>Réglementation applicable</w:t>
      </w:r>
      <w:r w:rsidRPr="001A6227">
        <w:rPr>
          <w:rFonts w:ascii="Arial" w:hAnsi="Arial" w:cs="Arial"/>
        </w:rPr>
        <w:t xml:space="preserve"> = convention de Genève, dite CMR transport de marchandises par route internationale</w:t>
      </w:r>
      <w:r w:rsidR="009076B9" w:rsidRPr="009076B9">
        <w:rPr>
          <w:rFonts w:ascii="Arial" w:hAnsi="Arial" w:cs="Arial"/>
        </w:rPr>
        <w:t>.</w:t>
      </w:r>
    </w:p>
    <w:p w14:paraId="5DF935BD" w14:textId="77777777" w:rsidR="00A30A10" w:rsidRPr="001A6227" w:rsidRDefault="00A30A10" w:rsidP="000D44B3">
      <w:pPr>
        <w:spacing w:line="240" w:lineRule="auto"/>
        <w:jc w:val="both"/>
        <w:rPr>
          <w:rFonts w:ascii="Arial" w:hAnsi="Arial" w:cs="Arial"/>
        </w:rPr>
      </w:pPr>
    </w:p>
    <w:p w14:paraId="3C8F7F2F" w14:textId="77777777" w:rsidR="00A30A10" w:rsidRPr="001A6227" w:rsidRDefault="00A30A10" w:rsidP="000D44B3">
      <w:pPr>
        <w:spacing w:line="240" w:lineRule="auto"/>
        <w:jc w:val="both"/>
        <w:rPr>
          <w:rFonts w:ascii="Arial" w:hAnsi="Arial" w:cs="Arial"/>
        </w:rPr>
      </w:pPr>
      <w:r w:rsidRPr="001A6227">
        <w:rPr>
          <w:rFonts w:ascii="Arial" w:hAnsi="Arial" w:cs="Arial"/>
          <w:b/>
        </w:rPr>
        <w:t xml:space="preserve">Responsabilité </w:t>
      </w:r>
      <w:r w:rsidRPr="001A6227">
        <w:rPr>
          <w:rFonts w:ascii="Arial" w:hAnsi="Arial" w:cs="Arial"/>
        </w:rPr>
        <w:t>du transporteur engagée sans déclaration de valeur =&gt; calcul du plafond d’indemnisation</w:t>
      </w:r>
    </w:p>
    <w:p w14:paraId="680EFAA6" w14:textId="77777777" w:rsidR="009076B9" w:rsidRDefault="009076B9" w:rsidP="009076B9">
      <w:pPr>
        <w:spacing w:line="240" w:lineRule="auto"/>
        <w:jc w:val="both"/>
        <w:rPr>
          <w:rFonts w:ascii="Arial" w:hAnsi="Arial" w:cs="Arial"/>
        </w:rPr>
      </w:pPr>
      <w:r w:rsidRPr="001A6227">
        <w:rPr>
          <w:rFonts w:ascii="Arial" w:hAnsi="Arial" w:cs="Arial"/>
        </w:rPr>
        <w:t xml:space="preserve">8,33 DTS par kilogramme de poids brut manquant </w:t>
      </w:r>
    </w:p>
    <w:p w14:paraId="21B2A493" w14:textId="77777777" w:rsidR="00A30A10" w:rsidRPr="001A6227" w:rsidRDefault="00A30A10" w:rsidP="009076B9">
      <w:pPr>
        <w:spacing w:line="240" w:lineRule="auto"/>
        <w:ind w:firstLine="284"/>
        <w:jc w:val="both"/>
        <w:rPr>
          <w:rFonts w:ascii="Arial" w:hAnsi="Arial" w:cs="Arial"/>
        </w:rPr>
      </w:pPr>
      <w:r w:rsidRPr="001A6227">
        <w:rPr>
          <w:rFonts w:ascii="Arial" w:hAnsi="Arial" w:cs="Arial"/>
        </w:rPr>
        <w:t xml:space="preserve">Calcul du poids brut manquant </w:t>
      </w:r>
    </w:p>
    <w:p w14:paraId="5D604EF4" w14:textId="77777777" w:rsidR="00A30A10" w:rsidRPr="001A6227" w:rsidRDefault="00A30A10" w:rsidP="000D44B3">
      <w:pPr>
        <w:spacing w:after="0" w:line="240" w:lineRule="auto"/>
        <w:jc w:val="both"/>
        <w:rPr>
          <w:rFonts w:ascii="Arial" w:hAnsi="Arial" w:cs="Arial"/>
          <w:bCs/>
        </w:rPr>
      </w:pPr>
      <w:r w:rsidRPr="001A6227">
        <w:rPr>
          <w:rFonts w:ascii="Arial" w:hAnsi="Arial" w:cs="Arial"/>
          <w:bCs/>
        </w:rPr>
        <w:t>Poids brut total de l’envoi : 1 652 kg pour 114 boites x 4 palettes = 456 boites</w:t>
      </w:r>
    </w:p>
    <w:p w14:paraId="52C1BF48" w14:textId="77777777" w:rsidR="00A30A10" w:rsidRPr="001A6227" w:rsidRDefault="00A30A10" w:rsidP="000D44B3">
      <w:pPr>
        <w:spacing w:after="0" w:line="240" w:lineRule="auto"/>
        <w:jc w:val="both"/>
        <w:rPr>
          <w:rFonts w:ascii="Arial" w:hAnsi="Arial" w:cs="Arial"/>
          <w:bCs/>
        </w:rPr>
      </w:pPr>
      <w:r w:rsidRPr="001A6227">
        <w:rPr>
          <w:rFonts w:ascii="Arial" w:hAnsi="Arial" w:cs="Arial"/>
          <w:bCs/>
        </w:rPr>
        <w:t>Poids brut d’une boite = 1 652 kg / 456 boites = 3,62 kg</w:t>
      </w:r>
    </w:p>
    <w:p w14:paraId="6DD4026C" w14:textId="77777777" w:rsidR="00A30A10" w:rsidRPr="001A6227" w:rsidRDefault="00A30A10" w:rsidP="00A30A10">
      <w:pPr>
        <w:spacing w:after="0" w:line="240" w:lineRule="auto"/>
        <w:rPr>
          <w:rFonts w:ascii="Arial" w:hAnsi="Arial" w:cs="Arial"/>
          <w:bCs/>
        </w:rPr>
      </w:pPr>
    </w:p>
    <w:p w14:paraId="796DDE32" w14:textId="46758C75" w:rsidR="00A30A10" w:rsidRPr="001A6227" w:rsidRDefault="00A30A10" w:rsidP="000D44B3">
      <w:pPr>
        <w:spacing w:after="0" w:line="240" w:lineRule="auto"/>
        <w:jc w:val="both"/>
        <w:rPr>
          <w:rFonts w:ascii="Arial" w:hAnsi="Arial" w:cs="Arial"/>
          <w:b/>
          <w:bCs/>
        </w:rPr>
      </w:pPr>
      <w:r w:rsidRPr="001A6227">
        <w:rPr>
          <w:rFonts w:ascii="Arial" w:hAnsi="Arial" w:cs="Arial"/>
          <w:bCs/>
        </w:rPr>
        <w:t>Poids brut des boites manquantes 3,62 kg x 203 boites = 734,86 kg</w:t>
      </w:r>
    </w:p>
    <w:p w14:paraId="06F212D6" w14:textId="77777777" w:rsidR="00A30A10" w:rsidRPr="001A6227" w:rsidRDefault="00A30A10" w:rsidP="00C06526">
      <w:pPr>
        <w:spacing w:after="0" w:line="240" w:lineRule="auto"/>
        <w:jc w:val="both"/>
        <w:rPr>
          <w:rFonts w:ascii="Arial" w:hAnsi="Arial" w:cs="Arial"/>
          <w:bCs/>
        </w:rPr>
      </w:pPr>
    </w:p>
    <w:p w14:paraId="0FC95A29" w14:textId="77777777" w:rsidR="00A30A10" w:rsidRPr="001A6227" w:rsidRDefault="00A30A10" w:rsidP="00C06526">
      <w:pPr>
        <w:spacing w:after="0" w:line="240" w:lineRule="auto"/>
        <w:jc w:val="both"/>
        <w:rPr>
          <w:rFonts w:ascii="Arial" w:hAnsi="Arial" w:cs="Arial"/>
        </w:rPr>
      </w:pPr>
      <w:r w:rsidRPr="001A6227">
        <w:rPr>
          <w:rFonts w:ascii="Arial" w:hAnsi="Arial" w:cs="Arial"/>
          <w:b/>
        </w:rPr>
        <w:t>Plafond d’indemnisation</w:t>
      </w:r>
      <w:r w:rsidRPr="001A6227">
        <w:rPr>
          <w:rFonts w:ascii="Arial" w:hAnsi="Arial" w:cs="Arial"/>
        </w:rPr>
        <w:t xml:space="preserve"> = 734,86 kg x 8,33 = 6 121,38 DTS</w:t>
      </w:r>
    </w:p>
    <w:p w14:paraId="3A949622" w14:textId="60A6D406" w:rsidR="00A30A10" w:rsidRPr="004C3B93" w:rsidRDefault="00A30A10" w:rsidP="00C06526">
      <w:pPr>
        <w:spacing w:after="0" w:line="240" w:lineRule="auto"/>
        <w:jc w:val="both"/>
        <w:rPr>
          <w:rFonts w:ascii="Arial" w:hAnsi="Arial" w:cs="Arial"/>
        </w:rPr>
      </w:pPr>
      <w:r w:rsidRPr="001A6227">
        <w:rPr>
          <w:rFonts w:ascii="Arial" w:hAnsi="Arial" w:cs="Arial"/>
        </w:rPr>
        <w:t xml:space="preserve">Plafond en euros = </w:t>
      </w:r>
      <w:r w:rsidR="004E7C77" w:rsidRPr="001A6227">
        <w:rPr>
          <w:rFonts w:ascii="Arial" w:hAnsi="Arial" w:cs="Arial"/>
        </w:rPr>
        <w:t>6 121,38 DTS x 1,24782 EUR = 7 638,3</w:t>
      </w:r>
      <w:r w:rsidR="00C06526" w:rsidRPr="001A6227">
        <w:rPr>
          <w:rFonts w:ascii="Arial" w:hAnsi="Arial" w:cs="Arial"/>
        </w:rPr>
        <w:t>8</w:t>
      </w:r>
      <w:r w:rsidR="004E7C77" w:rsidRPr="001A6227">
        <w:rPr>
          <w:rFonts w:ascii="Arial" w:hAnsi="Arial" w:cs="Arial"/>
        </w:rPr>
        <w:t xml:space="preserve"> EUR</w:t>
      </w:r>
    </w:p>
    <w:p w14:paraId="71507BE0" w14:textId="77777777" w:rsidR="004E7C77" w:rsidRPr="001A6227" w:rsidRDefault="004E7C77" w:rsidP="00C06526">
      <w:pPr>
        <w:spacing w:after="0" w:line="240" w:lineRule="auto"/>
        <w:jc w:val="both"/>
        <w:rPr>
          <w:rFonts w:ascii="Arial" w:hAnsi="Arial" w:cs="Arial"/>
        </w:rPr>
      </w:pPr>
    </w:p>
    <w:p w14:paraId="37AD454C" w14:textId="59ECDD37" w:rsidR="004E7C77" w:rsidRPr="001A6227" w:rsidRDefault="004E7C77" w:rsidP="00C06526">
      <w:pPr>
        <w:spacing w:after="0" w:line="240" w:lineRule="auto"/>
        <w:jc w:val="both"/>
        <w:rPr>
          <w:rFonts w:ascii="Arial" w:hAnsi="Arial" w:cs="Arial"/>
          <w:b/>
        </w:rPr>
      </w:pPr>
      <w:r w:rsidRPr="001A6227">
        <w:rPr>
          <w:rFonts w:ascii="Arial" w:hAnsi="Arial" w:cs="Arial"/>
          <w:b/>
        </w:rPr>
        <w:t>Montant du préjudice</w:t>
      </w:r>
      <w:r w:rsidRPr="001A6227">
        <w:rPr>
          <w:rFonts w:ascii="Arial" w:hAnsi="Arial" w:cs="Arial"/>
        </w:rPr>
        <w:t xml:space="preserve"> = 203 boites x 4,45 € = 903,35 </w:t>
      </w:r>
      <w:r w:rsidRPr="004C3B93">
        <w:rPr>
          <w:rFonts w:ascii="Arial" w:hAnsi="Arial" w:cs="Arial"/>
        </w:rPr>
        <w:t>EUR</w:t>
      </w:r>
    </w:p>
    <w:p w14:paraId="0D485771" w14:textId="77777777" w:rsidR="00966F75" w:rsidRPr="001A6227" w:rsidRDefault="00966F75" w:rsidP="00C06526">
      <w:pPr>
        <w:spacing w:after="0" w:line="240" w:lineRule="auto"/>
        <w:jc w:val="both"/>
        <w:rPr>
          <w:rFonts w:ascii="Arial" w:hAnsi="Arial" w:cs="Arial"/>
        </w:rPr>
      </w:pPr>
    </w:p>
    <w:p w14:paraId="2B4F53EF" w14:textId="77777777" w:rsidR="00C06526" w:rsidRPr="001A6227" w:rsidRDefault="004E7C77" w:rsidP="00C06526">
      <w:pPr>
        <w:tabs>
          <w:tab w:val="left" w:pos="8210"/>
        </w:tabs>
        <w:spacing w:line="240" w:lineRule="auto"/>
        <w:jc w:val="both"/>
        <w:rPr>
          <w:rFonts w:ascii="Arial" w:hAnsi="Arial" w:cs="Arial"/>
          <w:b/>
        </w:rPr>
      </w:pPr>
      <w:r w:rsidRPr="001A6227">
        <w:rPr>
          <w:rFonts w:ascii="Arial" w:hAnsi="Arial" w:cs="Arial"/>
          <w:b/>
        </w:rPr>
        <w:t>Montant de l’indemnisation</w:t>
      </w:r>
    </w:p>
    <w:p w14:paraId="1D53AF0C" w14:textId="77777777" w:rsidR="003C2C8B" w:rsidRPr="001A6227" w:rsidRDefault="00C06526" w:rsidP="00C06526">
      <w:pPr>
        <w:tabs>
          <w:tab w:val="left" w:pos="8210"/>
        </w:tabs>
        <w:spacing w:line="240" w:lineRule="auto"/>
        <w:jc w:val="both"/>
        <w:rPr>
          <w:rFonts w:ascii="Arial" w:hAnsi="Arial" w:cs="Arial"/>
        </w:rPr>
      </w:pPr>
      <w:r w:rsidRPr="001A6227">
        <w:rPr>
          <w:rFonts w:ascii="Arial" w:hAnsi="Arial" w:cs="Arial"/>
        </w:rPr>
        <w:t xml:space="preserve">Montant du préjudice = </w:t>
      </w:r>
      <w:r w:rsidR="004E7C77" w:rsidRPr="001A6227">
        <w:rPr>
          <w:rFonts w:ascii="Arial" w:hAnsi="Arial" w:cs="Arial"/>
        </w:rPr>
        <w:t>903,35 EUR</w:t>
      </w:r>
      <w:r w:rsidR="009076B9">
        <w:rPr>
          <w:rFonts w:ascii="Arial" w:hAnsi="Arial" w:cs="Arial"/>
        </w:rPr>
        <w:t xml:space="preserve"> </w:t>
      </w:r>
    </w:p>
    <w:p w14:paraId="2E6F342E" w14:textId="77777777" w:rsidR="00C06526" w:rsidRPr="001A6227" w:rsidRDefault="00C06526" w:rsidP="00C06526">
      <w:pPr>
        <w:spacing w:after="0" w:line="240" w:lineRule="auto"/>
        <w:jc w:val="both"/>
        <w:rPr>
          <w:rFonts w:ascii="Arial" w:hAnsi="Arial" w:cs="Arial"/>
        </w:rPr>
      </w:pPr>
      <w:r w:rsidRPr="001A6227">
        <w:rPr>
          <w:rFonts w:ascii="Arial" w:hAnsi="Arial" w:cs="Arial"/>
        </w:rPr>
        <w:t>CMR Article 23 – 4 : Sont en outre remboursés le prix du transport […] au prorata en cas de perte partielle.</w:t>
      </w:r>
      <w:r w:rsidRPr="001A6227">
        <w:rPr>
          <w:rFonts w:ascii="Arial" w:hAnsi="Arial" w:cs="Arial"/>
        </w:rPr>
        <w:tab/>
      </w:r>
      <w:r w:rsidRPr="001A6227">
        <w:rPr>
          <w:rFonts w:ascii="Arial" w:hAnsi="Arial" w:cs="Arial"/>
        </w:rPr>
        <w:tab/>
        <w:t>124 € / 456 = 0,2719 € x 203 boîtes = 55,20 €</w:t>
      </w:r>
    </w:p>
    <w:p w14:paraId="7B3193DC" w14:textId="59C385CB" w:rsidR="00C06526" w:rsidRPr="001A6227" w:rsidRDefault="00C06526" w:rsidP="00C06526">
      <w:pPr>
        <w:spacing w:after="0" w:line="240" w:lineRule="auto"/>
        <w:jc w:val="both"/>
        <w:rPr>
          <w:rFonts w:ascii="Arial" w:hAnsi="Arial" w:cs="Arial"/>
        </w:rPr>
      </w:pPr>
      <w:r w:rsidRPr="001A6227">
        <w:rPr>
          <w:rFonts w:ascii="Arial" w:hAnsi="Arial" w:cs="Arial"/>
          <w:b/>
        </w:rPr>
        <w:t xml:space="preserve">Total = 958,55 € </w:t>
      </w:r>
    </w:p>
    <w:p w14:paraId="3802663E" w14:textId="77777777" w:rsidR="00C06526" w:rsidRPr="001A6227" w:rsidRDefault="00C06526" w:rsidP="003C2C8B">
      <w:pPr>
        <w:tabs>
          <w:tab w:val="left" w:pos="8210"/>
        </w:tabs>
        <w:spacing w:line="240" w:lineRule="auto"/>
        <w:rPr>
          <w:rFonts w:ascii="Arial" w:hAnsi="Arial" w:cs="Arial"/>
        </w:rPr>
      </w:pPr>
    </w:p>
    <w:p w14:paraId="4F193429" w14:textId="3BFF95AA" w:rsidR="00A30A10" w:rsidRPr="001A6227" w:rsidRDefault="009076B9" w:rsidP="003C2C8B">
      <w:pPr>
        <w:tabs>
          <w:tab w:val="left" w:pos="8210"/>
        </w:tabs>
        <w:spacing w:line="240" w:lineRule="auto"/>
        <w:rPr>
          <w:rFonts w:ascii="Arial" w:hAnsi="Arial" w:cs="Arial"/>
          <w:b/>
        </w:rPr>
      </w:pPr>
      <w:r>
        <w:rPr>
          <w:rFonts w:ascii="Arial" w:hAnsi="Arial" w:cs="Arial"/>
          <w:b/>
        </w:rPr>
        <w:t xml:space="preserve">Cohérence du raisonnement </w:t>
      </w:r>
    </w:p>
    <w:p w14:paraId="14F2E85B" w14:textId="2E9B78CD" w:rsidR="00BA03F1" w:rsidRDefault="00BA03F1" w:rsidP="00BA03F1">
      <w:pPr>
        <w:spacing w:after="0" w:line="240" w:lineRule="auto"/>
        <w:rPr>
          <w:rFonts w:ascii="Arial" w:hAnsi="Arial" w:cs="Arial"/>
        </w:rPr>
      </w:pPr>
    </w:p>
    <w:p w14:paraId="1D761FAD" w14:textId="77777777" w:rsidR="00730C0F" w:rsidRPr="001A6227" w:rsidRDefault="00730C0F" w:rsidP="00BA03F1">
      <w:pPr>
        <w:spacing w:after="0" w:line="240" w:lineRule="auto"/>
        <w:rPr>
          <w:rFonts w:ascii="Arial" w:hAnsi="Arial" w:cs="Arial"/>
        </w:rPr>
      </w:pPr>
    </w:p>
    <w:p w14:paraId="45C8AE45" w14:textId="77777777" w:rsidR="00BA03F1" w:rsidRPr="004C3B93" w:rsidRDefault="00BA03F1" w:rsidP="00876369">
      <w:pPr>
        <w:pStyle w:val="Paragraphedeliste"/>
        <w:numPr>
          <w:ilvl w:val="0"/>
          <w:numId w:val="1"/>
        </w:numPr>
        <w:spacing w:line="240" w:lineRule="auto"/>
        <w:rPr>
          <w:rFonts w:ascii="Arial" w:hAnsi="Arial" w:cs="Arial"/>
          <w:b/>
        </w:rPr>
      </w:pPr>
      <w:r w:rsidRPr="004C3B93">
        <w:rPr>
          <w:rFonts w:ascii="Arial" w:hAnsi="Arial" w:cs="Arial"/>
          <w:b/>
        </w:rPr>
        <w:lastRenderedPageBreak/>
        <w:t>Répondez à la demande de votre client formulée en annexe 7</w:t>
      </w:r>
      <w:r w:rsidR="004C3B93">
        <w:rPr>
          <w:rFonts w:ascii="Arial" w:hAnsi="Arial" w:cs="Arial"/>
          <w:b/>
        </w:rPr>
        <w:t xml:space="preserve"> - </w:t>
      </w:r>
      <w:r w:rsidR="00224379" w:rsidRPr="009076B9">
        <w:rPr>
          <w:rFonts w:ascii="Arial" w:hAnsi="Arial" w:cs="Arial"/>
          <w:b/>
          <w:highlight w:val="yellow"/>
        </w:rPr>
        <w:t>10 points</w:t>
      </w:r>
    </w:p>
    <w:p w14:paraId="3ED26449" w14:textId="77777777" w:rsidR="00BA03F1" w:rsidRPr="001A6227" w:rsidRDefault="00BA03F1" w:rsidP="00876369">
      <w:pPr>
        <w:spacing w:after="0" w:line="240" w:lineRule="auto"/>
        <w:jc w:val="both"/>
        <w:rPr>
          <w:rFonts w:ascii="Arial" w:hAnsi="Arial" w:cs="Arial"/>
        </w:rPr>
      </w:pPr>
    </w:p>
    <w:p w14:paraId="285E087B" w14:textId="77777777" w:rsidR="004E7C77" w:rsidRPr="001A6227" w:rsidRDefault="004E7C77" w:rsidP="00876369">
      <w:pPr>
        <w:spacing w:after="0" w:line="240" w:lineRule="auto"/>
        <w:jc w:val="both"/>
        <w:rPr>
          <w:rFonts w:ascii="Arial" w:hAnsi="Arial" w:cs="Arial"/>
          <w:b/>
        </w:rPr>
      </w:pPr>
      <w:r w:rsidRPr="001A6227">
        <w:rPr>
          <w:rFonts w:ascii="Arial" w:hAnsi="Arial" w:cs="Arial"/>
          <w:b/>
        </w:rPr>
        <w:t>DEMANDE DU CLIENT REC</w:t>
      </w:r>
    </w:p>
    <w:p w14:paraId="3A7826DC" w14:textId="1A315769" w:rsidR="004850DD" w:rsidRPr="004C3B93" w:rsidRDefault="004E7C77" w:rsidP="004723CE">
      <w:pPr>
        <w:spacing w:after="0" w:line="240" w:lineRule="auto"/>
        <w:jc w:val="both"/>
        <w:rPr>
          <w:rFonts w:ascii="Arial" w:hAnsi="Arial" w:cs="Arial"/>
        </w:rPr>
      </w:pPr>
      <w:r w:rsidRPr="001A6227">
        <w:rPr>
          <w:rFonts w:ascii="Arial" w:hAnsi="Arial" w:cs="Arial"/>
        </w:rPr>
        <w:t xml:space="preserve">Pour </w:t>
      </w:r>
      <w:r w:rsidR="009B0C8B" w:rsidRPr="001A6227">
        <w:rPr>
          <w:rFonts w:ascii="Arial" w:hAnsi="Arial" w:cs="Arial"/>
        </w:rPr>
        <w:t>les</w:t>
      </w:r>
      <w:r w:rsidRPr="001A6227">
        <w:rPr>
          <w:rFonts w:ascii="Arial" w:hAnsi="Arial" w:cs="Arial"/>
        </w:rPr>
        <w:t xml:space="preserve"> prochains transports</w:t>
      </w:r>
      <w:r w:rsidR="009B0C8B" w:rsidRPr="001A6227">
        <w:rPr>
          <w:rFonts w:ascii="Arial" w:hAnsi="Arial" w:cs="Arial"/>
        </w:rPr>
        <w:t xml:space="preserve"> de produits de même nature, à savoir les champignons de Paris, </w:t>
      </w:r>
      <w:r w:rsidRPr="001A6227">
        <w:rPr>
          <w:rFonts w:ascii="Arial" w:hAnsi="Arial" w:cs="Arial"/>
        </w:rPr>
        <w:t xml:space="preserve">une déclaration de valeur </w:t>
      </w:r>
      <w:r w:rsidR="009B0C8B" w:rsidRPr="001A6227">
        <w:rPr>
          <w:rFonts w:ascii="Arial" w:hAnsi="Arial" w:cs="Arial"/>
        </w:rPr>
        <w:t>n’est pas</w:t>
      </w:r>
      <w:r w:rsidR="009711C1">
        <w:rPr>
          <w:rFonts w:ascii="Arial" w:hAnsi="Arial" w:cs="Arial"/>
        </w:rPr>
        <w:t xml:space="preserve"> </w:t>
      </w:r>
      <w:r w:rsidR="009B0C8B" w:rsidRPr="001A6227">
        <w:rPr>
          <w:rFonts w:ascii="Arial" w:hAnsi="Arial" w:cs="Arial"/>
        </w:rPr>
        <w:t>utile</w:t>
      </w:r>
      <w:r w:rsidR="009711C1">
        <w:rPr>
          <w:rFonts w:ascii="Arial" w:hAnsi="Arial" w:cs="Arial"/>
        </w:rPr>
        <w:t>.</w:t>
      </w:r>
    </w:p>
    <w:p w14:paraId="2E778709" w14:textId="1B4FBC89" w:rsidR="00876369" w:rsidRPr="004C3B93" w:rsidRDefault="009B0C8B" w:rsidP="004723CE">
      <w:pPr>
        <w:spacing w:after="0" w:line="240" w:lineRule="auto"/>
        <w:jc w:val="both"/>
        <w:rPr>
          <w:rFonts w:ascii="Arial" w:hAnsi="Arial" w:cs="Arial"/>
        </w:rPr>
      </w:pPr>
      <w:r w:rsidRPr="001A6227">
        <w:rPr>
          <w:rFonts w:ascii="Arial" w:hAnsi="Arial" w:cs="Arial"/>
        </w:rPr>
        <w:t>En effet, l</w:t>
      </w:r>
      <w:r w:rsidR="00876369" w:rsidRPr="001A6227">
        <w:rPr>
          <w:rFonts w:ascii="Arial" w:hAnsi="Arial" w:cs="Arial"/>
        </w:rPr>
        <w:t>a déclaration de valeur a pour effet de remplacer le plafond d’indemnisation</w:t>
      </w:r>
      <w:r w:rsidR="009711C1">
        <w:rPr>
          <w:rFonts w:ascii="Arial" w:hAnsi="Arial" w:cs="Arial"/>
        </w:rPr>
        <w:t>.</w:t>
      </w:r>
    </w:p>
    <w:p w14:paraId="3A843831" w14:textId="77777777" w:rsidR="00876369" w:rsidRPr="001A6227" w:rsidRDefault="00876369" w:rsidP="004723CE">
      <w:pPr>
        <w:spacing w:after="0" w:line="240" w:lineRule="auto"/>
        <w:jc w:val="both"/>
        <w:rPr>
          <w:rFonts w:ascii="Arial" w:hAnsi="Arial" w:cs="Arial"/>
        </w:rPr>
      </w:pPr>
    </w:p>
    <w:p w14:paraId="7D6C740F" w14:textId="13EAD04E" w:rsidR="00876369" w:rsidRPr="004C3B93" w:rsidRDefault="00876369" w:rsidP="004723CE">
      <w:pPr>
        <w:spacing w:after="0" w:line="240" w:lineRule="auto"/>
        <w:jc w:val="both"/>
        <w:rPr>
          <w:rFonts w:ascii="Arial" w:hAnsi="Arial" w:cs="Arial"/>
        </w:rPr>
      </w:pPr>
      <w:r w:rsidRPr="001A6227">
        <w:rPr>
          <w:rFonts w:ascii="Arial" w:hAnsi="Arial" w:cs="Arial"/>
        </w:rPr>
        <w:t>Ici les marchandises sont de faible valeur, et en dessous du plafond prévu par la CMR. Il n’y a donc pas d’intérêt pour ce type de marchandises à souscrire une déclaration de valeur.</w:t>
      </w:r>
    </w:p>
    <w:p w14:paraId="44AD4F7F" w14:textId="10D071F5" w:rsidR="00876369" w:rsidRPr="001A6227" w:rsidRDefault="009B0C8B" w:rsidP="004723CE">
      <w:pPr>
        <w:spacing w:after="0" w:line="240" w:lineRule="auto"/>
        <w:jc w:val="both"/>
        <w:rPr>
          <w:rFonts w:ascii="Arial" w:hAnsi="Arial" w:cs="Arial"/>
        </w:rPr>
      </w:pPr>
      <w:r w:rsidRPr="001A6227">
        <w:rPr>
          <w:rFonts w:ascii="Arial" w:hAnsi="Arial" w:cs="Arial"/>
        </w:rPr>
        <w:t>De plus, elle n’est applicable que si la responsabilité du transporteur est engagée.</w:t>
      </w:r>
    </w:p>
    <w:p w14:paraId="47CF9247" w14:textId="77777777" w:rsidR="009B0C8B" w:rsidRPr="001A6227" w:rsidRDefault="009B0C8B" w:rsidP="004723CE">
      <w:pPr>
        <w:spacing w:after="0" w:line="240" w:lineRule="auto"/>
        <w:jc w:val="both"/>
        <w:rPr>
          <w:rFonts w:ascii="Arial" w:hAnsi="Arial" w:cs="Arial"/>
        </w:rPr>
      </w:pPr>
    </w:p>
    <w:p w14:paraId="012B9127" w14:textId="106FBF28" w:rsidR="00224379" w:rsidRPr="001A6227" w:rsidRDefault="009B0C8B" w:rsidP="004723CE">
      <w:pPr>
        <w:spacing w:after="0" w:line="240" w:lineRule="auto"/>
        <w:jc w:val="both"/>
        <w:rPr>
          <w:rFonts w:ascii="Arial" w:hAnsi="Arial" w:cs="Arial"/>
        </w:rPr>
      </w:pPr>
      <w:r w:rsidRPr="001A6227">
        <w:rPr>
          <w:rFonts w:ascii="Arial" w:hAnsi="Arial" w:cs="Arial"/>
        </w:rPr>
        <w:t>Pour le transport de truffes en provenance d’Italie, le plafond d’indemnisation de la CMR s’applique en cas de litige : 8,33 DTS x 1,24782 = 10,39 € par kilo</w:t>
      </w:r>
      <w:r w:rsidRPr="004C3B93">
        <w:rPr>
          <w:rFonts w:ascii="Arial" w:hAnsi="Arial" w:cs="Arial"/>
        </w:rPr>
        <w:t>.</w:t>
      </w:r>
    </w:p>
    <w:p w14:paraId="7F6C3318" w14:textId="77777777" w:rsidR="009B0C8B" w:rsidRPr="001A6227" w:rsidRDefault="009B0C8B" w:rsidP="004723CE">
      <w:pPr>
        <w:spacing w:after="0" w:line="240" w:lineRule="auto"/>
        <w:jc w:val="both"/>
        <w:rPr>
          <w:rFonts w:ascii="Arial" w:hAnsi="Arial" w:cs="Arial"/>
        </w:rPr>
      </w:pPr>
      <w:r w:rsidRPr="001A6227">
        <w:rPr>
          <w:rFonts w:ascii="Arial" w:hAnsi="Arial" w:cs="Arial"/>
        </w:rPr>
        <w:t xml:space="preserve">Or la valeur du kilo de truffe est de 780 €. </w:t>
      </w:r>
    </w:p>
    <w:p w14:paraId="74F12D2E" w14:textId="5D087FA7" w:rsidR="009B0C8B" w:rsidRPr="001A6227" w:rsidRDefault="009B0C8B" w:rsidP="004723CE">
      <w:pPr>
        <w:spacing w:after="0" w:line="240" w:lineRule="auto"/>
        <w:jc w:val="both"/>
        <w:rPr>
          <w:rFonts w:ascii="Arial" w:hAnsi="Arial" w:cs="Arial"/>
        </w:rPr>
      </w:pPr>
      <w:r w:rsidRPr="001A6227">
        <w:rPr>
          <w:rFonts w:ascii="Arial" w:hAnsi="Arial" w:cs="Arial"/>
        </w:rPr>
        <w:t>Pour une indemnisation totale de la valeur perdue, en cas de litige, une déclaration de valeur est nécessaire</w:t>
      </w:r>
      <w:r w:rsidR="004723CE" w:rsidRPr="001A6227">
        <w:rPr>
          <w:rFonts w:ascii="Arial" w:hAnsi="Arial" w:cs="Arial"/>
        </w:rPr>
        <w:t>.</w:t>
      </w:r>
    </w:p>
    <w:p w14:paraId="635F470D" w14:textId="325E7309" w:rsidR="009B0C8B" w:rsidRPr="001A6227" w:rsidRDefault="009B0C8B" w:rsidP="004723CE">
      <w:pPr>
        <w:jc w:val="both"/>
        <w:rPr>
          <w:rFonts w:ascii="Arial" w:hAnsi="Arial" w:cs="Arial"/>
        </w:rPr>
      </w:pPr>
      <w:r w:rsidRPr="001A6227">
        <w:rPr>
          <w:rFonts w:ascii="Arial" w:hAnsi="Arial" w:cs="Arial"/>
        </w:rPr>
        <w:t>Toutefois, comme cette déclaration n’est applicable que si la responsabilité du transporteur est engagée, nous vous conseillons de prendre une assurance qui vous permettra d’être indemnisé de la valeur de la marchandise perdue sans aucune condition de responsabilité.</w:t>
      </w:r>
    </w:p>
    <w:p w14:paraId="5935BBFA" w14:textId="77777777" w:rsidR="00876369" w:rsidRPr="001A6227" w:rsidRDefault="005A5DDC" w:rsidP="004723CE">
      <w:pPr>
        <w:rPr>
          <w:rFonts w:ascii="Arial" w:hAnsi="Arial" w:cs="Arial"/>
          <w:b/>
        </w:rPr>
      </w:pPr>
      <w:r w:rsidRPr="001A6227">
        <w:rPr>
          <w:rFonts w:ascii="Arial" w:hAnsi="Arial" w:cs="Arial"/>
        </w:rPr>
        <w:br w:type="page"/>
      </w:r>
      <w:r w:rsidR="00876369" w:rsidRPr="001A6227">
        <w:rPr>
          <w:rFonts w:ascii="Arial" w:hAnsi="Arial" w:cs="Arial"/>
          <w:b/>
        </w:rPr>
        <w:lastRenderedPageBreak/>
        <w:t xml:space="preserve">DOSSIER </w:t>
      </w:r>
      <w:r w:rsidR="000D44B3" w:rsidRPr="001A6227">
        <w:rPr>
          <w:rFonts w:ascii="Arial" w:hAnsi="Arial" w:cs="Arial"/>
          <w:b/>
        </w:rPr>
        <w:t>2 ROCHER SA</w:t>
      </w:r>
      <w:r w:rsidR="00224379" w:rsidRPr="001A6227">
        <w:rPr>
          <w:rFonts w:ascii="Arial" w:hAnsi="Arial" w:cs="Arial"/>
          <w:b/>
        </w:rPr>
        <w:tab/>
      </w:r>
      <w:r w:rsidR="00224379" w:rsidRPr="001A6227">
        <w:rPr>
          <w:rFonts w:ascii="Arial" w:hAnsi="Arial" w:cs="Arial"/>
          <w:b/>
        </w:rPr>
        <w:tab/>
      </w:r>
      <w:r w:rsidR="00224379" w:rsidRPr="004D5665">
        <w:rPr>
          <w:rFonts w:ascii="Arial" w:hAnsi="Arial" w:cs="Arial"/>
          <w:b/>
          <w:highlight w:val="yellow"/>
        </w:rPr>
        <w:t>24 points</w:t>
      </w:r>
    </w:p>
    <w:p w14:paraId="7D794221" w14:textId="77777777" w:rsidR="009711C1" w:rsidRDefault="000D44B3" w:rsidP="000D44B3">
      <w:pPr>
        <w:pStyle w:val="Paragraphedeliste"/>
        <w:numPr>
          <w:ilvl w:val="0"/>
          <w:numId w:val="2"/>
        </w:numPr>
        <w:spacing w:line="240" w:lineRule="auto"/>
        <w:rPr>
          <w:rFonts w:ascii="Arial" w:hAnsi="Arial" w:cs="Arial"/>
          <w:b/>
          <w:sz w:val="24"/>
          <w:szCs w:val="24"/>
        </w:rPr>
      </w:pPr>
      <w:r w:rsidRPr="001A6227">
        <w:rPr>
          <w:rFonts w:ascii="Arial" w:hAnsi="Arial" w:cs="Arial"/>
          <w:b/>
          <w:sz w:val="24"/>
          <w:szCs w:val="24"/>
        </w:rPr>
        <w:t>Complétez les tableaux de</w:t>
      </w:r>
      <w:r w:rsidR="005A5DDC" w:rsidRPr="001A6227">
        <w:rPr>
          <w:rFonts w:ascii="Arial" w:hAnsi="Arial" w:cs="Arial"/>
          <w:b/>
          <w:sz w:val="24"/>
          <w:szCs w:val="24"/>
        </w:rPr>
        <w:t xml:space="preserve"> l’</w:t>
      </w:r>
      <w:r w:rsidRPr="001A6227">
        <w:rPr>
          <w:rFonts w:ascii="Arial" w:hAnsi="Arial" w:cs="Arial"/>
          <w:b/>
          <w:sz w:val="24"/>
          <w:szCs w:val="24"/>
        </w:rPr>
        <w:t xml:space="preserve">annexes </w:t>
      </w:r>
      <w:r w:rsidR="005A5DDC" w:rsidRPr="001A6227">
        <w:rPr>
          <w:rFonts w:ascii="Arial" w:hAnsi="Arial" w:cs="Arial"/>
          <w:b/>
          <w:sz w:val="24"/>
          <w:szCs w:val="24"/>
        </w:rPr>
        <w:t>A</w:t>
      </w:r>
      <w:r w:rsidRPr="001A6227">
        <w:rPr>
          <w:rFonts w:ascii="Arial" w:hAnsi="Arial" w:cs="Arial"/>
          <w:b/>
          <w:sz w:val="24"/>
          <w:szCs w:val="24"/>
        </w:rPr>
        <w:t xml:space="preserve"> (à rendre avec votre copie).</w:t>
      </w:r>
    </w:p>
    <w:p w14:paraId="2FEAE3CD" w14:textId="77777777" w:rsidR="000D44B3" w:rsidRPr="001A6227" w:rsidRDefault="009711C1" w:rsidP="009711C1">
      <w:pPr>
        <w:pStyle w:val="Paragraphedeliste"/>
        <w:spacing w:line="240" w:lineRule="auto"/>
        <w:rPr>
          <w:rFonts w:ascii="Arial" w:hAnsi="Arial" w:cs="Arial"/>
          <w:b/>
          <w:sz w:val="24"/>
          <w:szCs w:val="24"/>
        </w:rPr>
      </w:pPr>
      <w:r w:rsidRPr="009711C1">
        <w:rPr>
          <w:rFonts w:ascii="Arial" w:hAnsi="Arial" w:cs="Arial"/>
          <w:b/>
          <w:sz w:val="24"/>
          <w:szCs w:val="24"/>
          <w:highlight w:val="yellow"/>
        </w:rPr>
        <w:t>7</w:t>
      </w:r>
      <w:r w:rsidR="00224379" w:rsidRPr="009711C1">
        <w:rPr>
          <w:rFonts w:ascii="Arial" w:hAnsi="Arial" w:cs="Arial"/>
          <w:b/>
          <w:sz w:val="24"/>
          <w:szCs w:val="24"/>
          <w:highlight w:val="yellow"/>
        </w:rPr>
        <w:t xml:space="preserve"> points</w:t>
      </w:r>
    </w:p>
    <w:p w14:paraId="6131F408" w14:textId="77777777" w:rsidR="000D44B3" w:rsidRPr="001A6227" w:rsidRDefault="000D44B3">
      <w:pPr>
        <w:rPr>
          <w:rFonts w:ascii="Arial" w:hAnsi="Arial" w:cs="Arial"/>
          <w:sz w:val="16"/>
          <w:szCs w:val="16"/>
        </w:rPr>
      </w:pPr>
    </w:p>
    <w:p w14:paraId="546BB876" w14:textId="77777777" w:rsidR="000D44B3" w:rsidRPr="001A6227" w:rsidRDefault="005A5DDC" w:rsidP="000D44B3">
      <w:pPr>
        <w:spacing w:after="0" w:line="240" w:lineRule="auto"/>
        <w:rPr>
          <w:rFonts w:ascii="Arial" w:eastAsia="Times New Roman" w:hAnsi="Arial" w:cs="Arial"/>
          <w:b/>
          <w:bCs/>
          <w:u w:val="single"/>
          <w:lang w:eastAsia="fr-FR"/>
        </w:rPr>
      </w:pPr>
      <w:r w:rsidRPr="001A6227">
        <w:rPr>
          <w:rFonts w:ascii="Arial" w:eastAsia="Times New Roman" w:hAnsi="Arial" w:cs="Arial"/>
          <w:b/>
          <w:bCs/>
          <w:u w:val="single"/>
          <w:lang w:eastAsia="fr-FR"/>
        </w:rPr>
        <w:t xml:space="preserve">Extrait du tableau de bord : </w:t>
      </w:r>
      <w:r w:rsidR="000D44B3" w:rsidRPr="001A6227">
        <w:rPr>
          <w:rFonts w:ascii="Arial" w:eastAsia="Times New Roman" w:hAnsi="Arial" w:cs="Arial"/>
          <w:b/>
          <w:bCs/>
          <w:u w:val="single"/>
          <w:lang w:eastAsia="fr-FR"/>
        </w:rPr>
        <w:t>ACTIVITÉ ET CHIFFRE D’AFFAIRES</w:t>
      </w:r>
    </w:p>
    <w:p w14:paraId="439073BD" w14:textId="77777777" w:rsidR="005A5DDC" w:rsidRPr="001A6227" w:rsidRDefault="005A5DDC" w:rsidP="000D44B3">
      <w:pPr>
        <w:spacing w:after="0" w:line="240" w:lineRule="auto"/>
        <w:rPr>
          <w:rFonts w:ascii="Arial" w:eastAsia="Times New Roman" w:hAnsi="Arial" w:cs="Arial"/>
          <w:bCs/>
          <w:sz w:val="16"/>
          <w:szCs w:val="16"/>
          <w:lang w:eastAsia="fr-FR"/>
        </w:rPr>
      </w:pPr>
    </w:p>
    <w:p w14:paraId="17B4F094" w14:textId="5B3EF07B" w:rsidR="000D44B3" w:rsidRPr="001A6227" w:rsidRDefault="004C3B93" w:rsidP="000D44B3">
      <w:pPr>
        <w:spacing w:after="0" w:line="240" w:lineRule="auto"/>
        <w:rPr>
          <w:rFonts w:ascii="Arial" w:eastAsia="Times New Roman" w:hAnsi="Arial" w:cs="Arial"/>
          <w:b/>
          <w:bCs/>
          <w:lang w:eastAsia="fr-FR"/>
        </w:rPr>
      </w:pPr>
      <w:r>
        <w:rPr>
          <w:rFonts w:ascii="Arial" w:eastAsia="Times New Roman" w:hAnsi="Arial" w:cs="Arial"/>
          <w:b/>
          <w:bCs/>
          <w:lang w:eastAsia="fr-FR"/>
        </w:rPr>
        <w:t>1-</w:t>
      </w:r>
      <w:r w:rsidR="000D44B3" w:rsidRPr="001A6227">
        <w:rPr>
          <w:rFonts w:ascii="Arial" w:eastAsia="Times New Roman" w:hAnsi="Arial" w:cs="Arial"/>
          <w:b/>
          <w:bCs/>
          <w:lang w:eastAsia="fr-FR"/>
        </w:rPr>
        <w:t>Évolution du CA sur 5 ans par activité</w:t>
      </w:r>
      <w:r w:rsidR="009711C1">
        <w:rPr>
          <w:rFonts w:ascii="Arial" w:eastAsia="Times New Roman" w:hAnsi="Arial" w:cs="Arial"/>
          <w:b/>
          <w:bCs/>
          <w:lang w:eastAsia="fr-FR"/>
        </w:rPr>
        <w:tab/>
      </w:r>
    </w:p>
    <w:tbl>
      <w:tblPr>
        <w:tblW w:w="9371" w:type="dxa"/>
        <w:tblInd w:w="55" w:type="dxa"/>
        <w:tblCellMar>
          <w:left w:w="70" w:type="dxa"/>
          <w:right w:w="70" w:type="dxa"/>
        </w:tblCellMar>
        <w:tblLook w:val="04A0" w:firstRow="1" w:lastRow="0" w:firstColumn="1" w:lastColumn="0" w:noHBand="0" w:noVBand="1"/>
      </w:tblPr>
      <w:tblGrid>
        <w:gridCol w:w="2850"/>
        <w:gridCol w:w="993"/>
        <w:gridCol w:w="1275"/>
        <w:gridCol w:w="1418"/>
        <w:gridCol w:w="1417"/>
        <w:gridCol w:w="1418"/>
      </w:tblGrid>
      <w:tr w:rsidR="001A6227" w:rsidRPr="001A6227" w14:paraId="738C2EC6" w14:textId="77777777" w:rsidTr="00413818">
        <w:trPr>
          <w:trHeight w:val="270"/>
        </w:trPr>
        <w:tc>
          <w:tcPr>
            <w:tcW w:w="285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37E2C38"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Années</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6A731AA3"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2016</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5CD1C531"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2017</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7686CACE"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2018</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2C1F3128"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2019</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14:paraId="43AD89CC"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2020</w:t>
            </w:r>
          </w:p>
        </w:tc>
      </w:tr>
      <w:tr w:rsidR="001A6227" w:rsidRPr="001A6227" w14:paraId="31F4243D" w14:textId="77777777" w:rsidTr="00413818">
        <w:trPr>
          <w:trHeight w:val="845"/>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B4FB3"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CA Commissionnaire : (K€)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D63E9"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1 680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ED255"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1 700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80E46"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1 700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875F7"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232D1"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930</w:t>
            </w:r>
          </w:p>
        </w:tc>
      </w:tr>
      <w:tr w:rsidR="001A6227" w:rsidRPr="001A6227" w14:paraId="4FF93450" w14:textId="77777777" w:rsidTr="00413818">
        <w:trPr>
          <w:trHeight w:val="835"/>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F075B"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CA Transport en propre (K€)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A2E0A"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3 816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4F267"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3 830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18CF"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3 850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8A4D"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5 025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824B"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5 520</w:t>
            </w:r>
          </w:p>
        </w:tc>
      </w:tr>
      <w:tr w:rsidR="001A6227" w:rsidRPr="001A6227" w14:paraId="658EA0E4" w14:textId="77777777" w:rsidTr="00413818">
        <w:trPr>
          <w:trHeight w:val="69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8BC54" w14:textId="77777777" w:rsidR="009711C1"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TOTAL CA (K€)</w:t>
            </w:r>
            <w:r w:rsidR="009711C1">
              <w:rPr>
                <w:rFonts w:ascii="Arial" w:eastAsia="Times New Roman" w:hAnsi="Arial" w:cs="Arial"/>
                <w:b/>
                <w:bCs/>
                <w:lang w:eastAsia="fr-FR"/>
              </w:rPr>
              <w:t xml:space="preserve"> </w:t>
            </w:r>
          </w:p>
          <w:p w14:paraId="353D9F22" w14:textId="7415D56C" w:rsidR="000D44B3" w:rsidRPr="001A6227" w:rsidRDefault="000D44B3" w:rsidP="00413818">
            <w:pPr>
              <w:spacing w:after="0" w:line="240" w:lineRule="auto"/>
              <w:rPr>
                <w:rFonts w:ascii="Arial" w:eastAsia="Times New Roman" w:hAnsi="Arial" w:cs="Arial"/>
                <w:b/>
                <w:bCs/>
                <w:lang w:eastAsia="fr-FR"/>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0EB32C"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5 496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6FC4DF8"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47D24D"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5 550</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B9816" w14:textId="77777777" w:rsidR="000D44B3" w:rsidRPr="001A6227" w:rsidRDefault="005A5DDC"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5 875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63BBD"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6 450</w:t>
            </w:r>
          </w:p>
        </w:tc>
      </w:tr>
      <w:tr w:rsidR="001A6227" w:rsidRPr="001A6227" w14:paraId="0D0DD11D" w14:textId="77777777" w:rsidTr="00413818">
        <w:trPr>
          <w:trHeight w:val="832"/>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45DD" w14:textId="2FE3FD3E"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Part CA commissionnaire en %</w:t>
            </w:r>
            <w:r w:rsidR="00A8130F" w:rsidRPr="001A6227">
              <w:rPr>
                <w:rFonts w:ascii="Arial" w:eastAsia="Times New Roman" w:hAnsi="Arial" w:cs="Arial"/>
                <w:b/>
                <w:bCs/>
                <w:lang w:eastAsia="fr-FR"/>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E7EC80"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 xml:space="preserve">30,56 </w:t>
            </w:r>
            <w:r w:rsidR="008142B3" w:rsidRPr="001A6227">
              <w:rPr>
                <w:rFonts w:ascii="Arial" w:eastAsia="Times New Roman" w:hAnsi="Arial" w:cs="Arial"/>
                <w:lang w:eastAsia="fr-FR"/>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68D3B3"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 xml:space="preserve">30,74 </w:t>
            </w:r>
            <w:r w:rsidR="008142B3" w:rsidRPr="001A6227">
              <w:rPr>
                <w:rFonts w:ascii="Arial" w:eastAsia="Times New Roman" w:hAnsi="Arial" w:cs="Arial"/>
                <w:lang w:eastAsia="fr-F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8E54C3"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 xml:space="preserve">30,63 </w:t>
            </w:r>
            <w:r w:rsidR="008142B3" w:rsidRPr="001A6227">
              <w:rPr>
                <w:rFonts w:ascii="Arial" w:eastAsia="Times New Roman" w:hAnsi="Arial" w:cs="Arial"/>
                <w:lang w:eastAsia="fr-FR"/>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6BBC5"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14,47</w:t>
            </w:r>
            <w:r w:rsidR="008142B3" w:rsidRPr="001A6227">
              <w:rPr>
                <w:rFonts w:ascii="Arial" w:eastAsia="Times New Roman" w:hAnsi="Arial" w:cs="Arial"/>
                <w:lang w:eastAsia="fr-FR"/>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E4304"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14,42</w:t>
            </w:r>
            <w:r w:rsidR="008142B3" w:rsidRPr="001A6227">
              <w:rPr>
                <w:rFonts w:ascii="Arial" w:eastAsia="Times New Roman" w:hAnsi="Arial" w:cs="Arial"/>
                <w:lang w:eastAsia="fr-FR"/>
              </w:rPr>
              <w:t xml:space="preserve"> %</w:t>
            </w:r>
          </w:p>
        </w:tc>
      </w:tr>
      <w:tr w:rsidR="001A6227" w:rsidRPr="001A6227" w14:paraId="04916291" w14:textId="77777777" w:rsidTr="005A5DDC">
        <w:trPr>
          <w:trHeight w:val="525"/>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0526" w14:textId="02C1A366"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 xml:space="preserve">% d'augmentation du CA </w:t>
            </w:r>
            <w:r w:rsidR="008142B3" w:rsidRPr="001A6227">
              <w:rPr>
                <w:rFonts w:ascii="Arial" w:eastAsia="Times New Roman" w:hAnsi="Arial" w:cs="Arial"/>
                <w:b/>
                <w:bCs/>
                <w:lang w:eastAsia="fr-FR"/>
              </w:rPr>
              <w:t xml:space="preserve">total </w:t>
            </w:r>
            <w:r w:rsidRPr="001A6227">
              <w:rPr>
                <w:rFonts w:ascii="Arial" w:eastAsia="Times New Roman" w:hAnsi="Arial" w:cs="Arial"/>
                <w:b/>
                <w:bCs/>
                <w:lang w:eastAsia="fr-FR"/>
              </w:rPr>
              <w:t>par rapport à 2016</w:t>
            </w:r>
            <w:r w:rsidR="00A8130F" w:rsidRPr="001A6227">
              <w:rPr>
                <w:rFonts w:ascii="Arial" w:eastAsia="Times New Roman" w:hAnsi="Arial" w:cs="Arial"/>
                <w:b/>
                <w:bCs/>
                <w:lang w:eastAsia="fr-FR"/>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BFE64CF" w14:textId="77777777" w:rsidR="000D44B3" w:rsidRPr="001A6227" w:rsidRDefault="000D44B3" w:rsidP="00413818">
            <w:pPr>
              <w:spacing w:after="0" w:line="240" w:lineRule="auto"/>
              <w:jc w:val="center"/>
              <w:rPr>
                <w:rFonts w:ascii="Arial" w:eastAsia="Times New Roman" w:hAnsi="Arial" w:cs="Arial"/>
                <w:lang w:eastAsia="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6E4984"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0,6</w:t>
            </w:r>
            <w:r w:rsidR="008142B3" w:rsidRPr="001A6227">
              <w:rPr>
                <w:rFonts w:ascii="Arial" w:eastAsia="Times New Roman" w:hAnsi="Arial" w:cs="Arial"/>
                <w:lang w:eastAsia="fr-FR"/>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073182"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0,98</w:t>
            </w:r>
            <w:r w:rsidR="008142B3" w:rsidRPr="001A6227">
              <w:rPr>
                <w:rFonts w:ascii="Arial" w:eastAsia="Times New Roman" w:hAnsi="Arial" w:cs="Arial"/>
                <w:lang w:eastAsia="fr-F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318EC"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6,90</w:t>
            </w:r>
            <w:r w:rsidR="008142B3" w:rsidRPr="001A6227">
              <w:rPr>
                <w:rFonts w:ascii="Arial" w:eastAsia="Times New Roman" w:hAnsi="Arial" w:cs="Arial"/>
                <w:lang w:eastAsia="fr-FR"/>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E007A0"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17,36</w:t>
            </w:r>
            <w:r w:rsidR="008142B3" w:rsidRPr="001A6227">
              <w:rPr>
                <w:rFonts w:ascii="Arial" w:eastAsia="Times New Roman" w:hAnsi="Arial" w:cs="Arial"/>
                <w:lang w:eastAsia="fr-FR"/>
              </w:rPr>
              <w:t xml:space="preserve"> %</w:t>
            </w:r>
          </w:p>
        </w:tc>
      </w:tr>
    </w:tbl>
    <w:p w14:paraId="587EF532" w14:textId="77777777" w:rsidR="000D44B3" w:rsidRPr="001A6227" w:rsidRDefault="000D44B3" w:rsidP="000D44B3">
      <w:pPr>
        <w:spacing w:after="0" w:line="240" w:lineRule="auto"/>
        <w:rPr>
          <w:rFonts w:ascii="Arial" w:eastAsia="Times New Roman" w:hAnsi="Arial" w:cs="Arial"/>
          <w:bCs/>
          <w:sz w:val="16"/>
          <w:szCs w:val="16"/>
          <w:lang w:eastAsia="fr-FR"/>
        </w:rPr>
      </w:pPr>
    </w:p>
    <w:p w14:paraId="19915290" w14:textId="1AB72BB2" w:rsidR="000D44B3" w:rsidRPr="001A6227" w:rsidRDefault="004C3B93" w:rsidP="000D44B3">
      <w:pPr>
        <w:spacing w:after="0" w:line="240" w:lineRule="auto"/>
        <w:rPr>
          <w:rFonts w:ascii="Arial" w:eastAsia="Times New Roman" w:hAnsi="Arial" w:cs="Arial"/>
          <w:b/>
          <w:bCs/>
          <w:lang w:eastAsia="fr-FR"/>
        </w:rPr>
      </w:pPr>
      <w:r>
        <w:rPr>
          <w:rFonts w:ascii="Arial" w:eastAsia="Times New Roman" w:hAnsi="Arial" w:cs="Arial"/>
          <w:b/>
          <w:bCs/>
          <w:lang w:eastAsia="fr-FR"/>
        </w:rPr>
        <w:t>2-</w:t>
      </w:r>
      <w:r w:rsidR="000D44B3" w:rsidRPr="001A6227">
        <w:rPr>
          <w:rFonts w:ascii="Arial" w:eastAsia="Times New Roman" w:hAnsi="Arial" w:cs="Arial"/>
          <w:b/>
          <w:bCs/>
          <w:lang w:eastAsia="fr-FR"/>
        </w:rPr>
        <w:t>Évolution de la rentabilité de 2016 à 2020</w:t>
      </w:r>
      <w:r w:rsidR="009711C1">
        <w:rPr>
          <w:rFonts w:ascii="Arial" w:eastAsia="Times New Roman" w:hAnsi="Arial" w:cs="Arial"/>
          <w:b/>
          <w:bCs/>
          <w:lang w:eastAsia="fr-FR"/>
        </w:rPr>
        <w:tab/>
      </w:r>
      <w:r w:rsidR="009711C1">
        <w:rPr>
          <w:rFonts w:ascii="Arial" w:eastAsia="Times New Roman" w:hAnsi="Arial" w:cs="Arial"/>
          <w:b/>
          <w:bCs/>
          <w:lang w:eastAsia="fr-FR"/>
        </w:rPr>
        <w:tab/>
      </w:r>
    </w:p>
    <w:tbl>
      <w:tblPr>
        <w:tblW w:w="10221" w:type="dxa"/>
        <w:tblInd w:w="55" w:type="dxa"/>
        <w:tblCellMar>
          <w:left w:w="70" w:type="dxa"/>
          <w:right w:w="70" w:type="dxa"/>
        </w:tblCellMar>
        <w:tblLook w:val="04A0" w:firstRow="1" w:lastRow="0" w:firstColumn="1" w:lastColumn="0" w:noHBand="0" w:noVBand="1"/>
      </w:tblPr>
      <w:tblGrid>
        <w:gridCol w:w="2283"/>
        <w:gridCol w:w="1560"/>
        <w:gridCol w:w="1559"/>
        <w:gridCol w:w="1559"/>
        <w:gridCol w:w="1701"/>
        <w:gridCol w:w="1559"/>
      </w:tblGrid>
      <w:tr w:rsidR="001A6227" w:rsidRPr="001A6227" w14:paraId="46336957" w14:textId="77777777" w:rsidTr="00413818">
        <w:trPr>
          <w:trHeight w:val="270"/>
        </w:trPr>
        <w:tc>
          <w:tcPr>
            <w:tcW w:w="22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191827"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Années</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14:paraId="18C09911"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2016</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2FBCCF42"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2017</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7967E5A6"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2018</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1E206DF"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2019</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72E4C56" w14:textId="77777777" w:rsidR="000D44B3" w:rsidRPr="001A6227" w:rsidRDefault="000D44B3"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2020</w:t>
            </w:r>
          </w:p>
        </w:tc>
      </w:tr>
      <w:tr w:rsidR="001A6227" w:rsidRPr="001A6227" w14:paraId="7C6D8B70" w14:textId="77777777" w:rsidTr="00413818">
        <w:trPr>
          <w:trHeight w:val="609"/>
        </w:trPr>
        <w:tc>
          <w:tcPr>
            <w:tcW w:w="2283" w:type="dxa"/>
            <w:tcBorders>
              <w:top w:val="nil"/>
              <w:left w:val="single" w:sz="8" w:space="0" w:color="auto"/>
              <w:bottom w:val="single" w:sz="8" w:space="0" w:color="auto"/>
              <w:right w:val="single" w:sz="8" w:space="0" w:color="auto"/>
            </w:tcBorders>
            <w:shd w:val="clear" w:color="auto" w:fill="auto"/>
            <w:vAlign w:val="center"/>
            <w:hideMark/>
          </w:tcPr>
          <w:p w14:paraId="3D5D103D"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Marge en % du CA</w:t>
            </w:r>
          </w:p>
        </w:tc>
        <w:tc>
          <w:tcPr>
            <w:tcW w:w="1560" w:type="dxa"/>
            <w:tcBorders>
              <w:top w:val="nil"/>
              <w:left w:val="nil"/>
              <w:bottom w:val="single" w:sz="8" w:space="0" w:color="auto"/>
              <w:right w:val="single" w:sz="4" w:space="0" w:color="auto"/>
            </w:tcBorders>
            <w:shd w:val="clear" w:color="auto" w:fill="auto"/>
            <w:vAlign w:val="center"/>
            <w:hideMark/>
          </w:tcPr>
          <w:p w14:paraId="3644C1A3"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11,3%</w:t>
            </w:r>
          </w:p>
        </w:tc>
        <w:tc>
          <w:tcPr>
            <w:tcW w:w="1559" w:type="dxa"/>
            <w:tcBorders>
              <w:top w:val="nil"/>
              <w:left w:val="nil"/>
              <w:bottom w:val="single" w:sz="8" w:space="0" w:color="auto"/>
              <w:right w:val="single" w:sz="4" w:space="0" w:color="auto"/>
            </w:tcBorders>
            <w:shd w:val="clear" w:color="auto" w:fill="auto"/>
            <w:vAlign w:val="center"/>
            <w:hideMark/>
          </w:tcPr>
          <w:p w14:paraId="06C55D04"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11,4%</w:t>
            </w:r>
          </w:p>
        </w:tc>
        <w:tc>
          <w:tcPr>
            <w:tcW w:w="1559" w:type="dxa"/>
            <w:tcBorders>
              <w:top w:val="nil"/>
              <w:left w:val="nil"/>
              <w:bottom w:val="single" w:sz="8" w:space="0" w:color="auto"/>
              <w:right w:val="single" w:sz="4" w:space="0" w:color="auto"/>
            </w:tcBorders>
            <w:shd w:val="clear" w:color="auto" w:fill="auto"/>
            <w:vAlign w:val="center"/>
            <w:hideMark/>
          </w:tcPr>
          <w:p w14:paraId="5C8E0AEA"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11,3%</w:t>
            </w:r>
          </w:p>
        </w:tc>
        <w:tc>
          <w:tcPr>
            <w:tcW w:w="1701" w:type="dxa"/>
            <w:tcBorders>
              <w:top w:val="nil"/>
              <w:left w:val="nil"/>
              <w:bottom w:val="single" w:sz="8" w:space="0" w:color="auto"/>
              <w:right w:val="single" w:sz="4" w:space="0" w:color="auto"/>
            </w:tcBorders>
            <w:shd w:val="clear" w:color="auto" w:fill="auto"/>
            <w:vAlign w:val="center"/>
            <w:hideMark/>
          </w:tcPr>
          <w:p w14:paraId="50459025"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10,0%</w:t>
            </w:r>
          </w:p>
        </w:tc>
        <w:tc>
          <w:tcPr>
            <w:tcW w:w="1559" w:type="dxa"/>
            <w:tcBorders>
              <w:top w:val="nil"/>
              <w:left w:val="nil"/>
              <w:bottom w:val="single" w:sz="8" w:space="0" w:color="auto"/>
              <w:right w:val="single" w:sz="8" w:space="0" w:color="auto"/>
            </w:tcBorders>
            <w:shd w:val="clear" w:color="auto" w:fill="auto"/>
            <w:vAlign w:val="center"/>
            <w:hideMark/>
          </w:tcPr>
          <w:p w14:paraId="17B7ACD1"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8,5%</w:t>
            </w:r>
          </w:p>
        </w:tc>
      </w:tr>
      <w:tr w:rsidR="001A6227" w:rsidRPr="001A6227" w14:paraId="568F17A0" w14:textId="77777777" w:rsidTr="00413818">
        <w:trPr>
          <w:trHeight w:val="816"/>
        </w:trPr>
        <w:tc>
          <w:tcPr>
            <w:tcW w:w="2283" w:type="dxa"/>
            <w:tcBorders>
              <w:top w:val="single" w:sz="8" w:space="0" w:color="auto"/>
              <w:left w:val="single" w:sz="8" w:space="0" w:color="auto"/>
              <w:bottom w:val="single" w:sz="4" w:space="0" w:color="auto"/>
              <w:right w:val="single" w:sz="8" w:space="0" w:color="auto"/>
            </w:tcBorders>
            <w:shd w:val="clear" w:color="000000" w:fill="FFFFFF" w:themeFill="background1"/>
            <w:vAlign w:val="center"/>
            <w:hideMark/>
          </w:tcPr>
          <w:p w14:paraId="118B4CC3" w14:textId="77777777"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CA (K€)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0C9F18"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5 496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4035C9"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C203C"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5 550</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vAlign w:val="center"/>
          </w:tcPr>
          <w:p w14:paraId="7A4D6AD2" w14:textId="77777777" w:rsidR="000D44B3" w:rsidRPr="001A6227" w:rsidRDefault="000D44B3" w:rsidP="000D44B3">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5 875</w:t>
            </w:r>
          </w:p>
        </w:tc>
        <w:tc>
          <w:tcPr>
            <w:tcW w:w="1559" w:type="dxa"/>
            <w:tcBorders>
              <w:top w:val="single" w:sz="8" w:space="0" w:color="auto"/>
              <w:left w:val="nil"/>
              <w:bottom w:val="single" w:sz="4" w:space="0" w:color="auto"/>
              <w:right w:val="single" w:sz="8" w:space="0" w:color="auto"/>
            </w:tcBorders>
            <w:shd w:val="clear" w:color="auto" w:fill="D9D9D9" w:themeFill="background1" w:themeFillShade="D9"/>
            <w:vAlign w:val="center"/>
          </w:tcPr>
          <w:p w14:paraId="0707F001" w14:textId="77777777" w:rsidR="000D44B3" w:rsidRPr="001A6227" w:rsidRDefault="000D44B3" w:rsidP="000D44B3">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6 450</w:t>
            </w:r>
          </w:p>
        </w:tc>
      </w:tr>
      <w:tr w:rsidR="001A6227" w:rsidRPr="001A6227" w14:paraId="65799EE4" w14:textId="77777777" w:rsidTr="00413818">
        <w:trPr>
          <w:trHeight w:val="980"/>
        </w:trPr>
        <w:tc>
          <w:tcPr>
            <w:tcW w:w="2283" w:type="dxa"/>
            <w:tcBorders>
              <w:top w:val="single" w:sz="4" w:space="0" w:color="auto"/>
              <w:left w:val="single" w:sz="8" w:space="0" w:color="auto"/>
              <w:bottom w:val="single" w:sz="8" w:space="0" w:color="auto"/>
              <w:right w:val="single" w:sz="8" w:space="0" w:color="auto"/>
            </w:tcBorders>
            <w:shd w:val="clear" w:color="000000" w:fill="FFFFFF" w:themeFill="background1"/>
            <w:vAlign w:val="center"/>
            <w:hideMark/>
          </w:tcPr>
          <w:p w14:paraId="4A8A36FB" w14:textId="7CDD1563" w:rsidR="000D44B3" w:rsidRPr="001A6227" w:rsidRDefault="000D44B3"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Marge en K€</w:t>
            </w:r>
            <w:r w:rsidR="009711C1">
              <w:rPr>
                <w:rFonts w:ascii="Arial" w:eastAsia="Times New Roman" w:hAnsi="Arial" w:cs="Arial"/>
                <w:b/>
                <w:bCs/>
                <w:lang w:eastAsia="fr-FR"/>
              </w:rPr>
              <w:t xml:space="preserve"> </w:t>
            </w:r>
          </w:p>
        </w:tc>
        <w:tc>
          <w:tcPr>
            <w:tcW w:w="1560" w:type="dxa"/>
            <w:tcBorders>
              <w:top w:val="single" w:sz="4" w:space="0" w:color="auto"/>
              <w:left w:val="nil"/>
              <w:bottom w:val="single" w:sz="8" w:space="0" w:color="auto"/>
              <w:right w:val="single" w:sz="4" w:space="0" w:color="auto"/>
            </w:tcBorders>
            <w:shd w:val="clear" w:color="auto" w:fill="auto"/>
            <w:vAlign w:val="center"/>
          </w:tcPr>
          <w:p w14:paraId="336C1D91"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621,05</w:t>
            </w:r>
          </w:p>
        </w:tc>
        <w:tc>
          <w:tcPr>
            <w:tcW w:w="1559" w:type="dxa"/>
            <w:tcBorders>
              <w:top w:val="single" w:sz="4" w:space="0" w:color="auto"/>
              <w:left w:val="nil"/>
              <w:bottom w:val="single" w:sz="8" w:space="0" w:color="auto"/>
              <w:right w:val="single" w:sz="4" w:space="0" w:color="auto"/>
            </w:tcBorders>
            <w:shd w:val="clear" w:color="auto" w:fill="auto"/>
            <w:vAlign w:val="center"/>
          </w:tcPr>
          <w:p w14:paraId="55B70A1B"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630,40</w:t>
            </w:r>
          </w:p>
        </w:tc>
        <w:tc>
          <w:tcPr>
            <w:tcW w:w="1559" w:type="dxa"/>
            <w:tcBorders>
              <w:top w:val="single" w:sz="4" w:space="0" w:color="auto"/>
              <w:left w:val="nil"/>
              <w:bottom w:val="single" w:sz="8" w:space="0" w:color="auto"/>
              <w:right w:val="single" w:sz="4" w:space="0" w:color="auto"/>
            </w:tcBorders>
            <w:shd w:val="clear" w:color="auto" w:fill="auto"/>
            <w:vAlign w:val="center"/>
          </w:tcPr>
          <w:p w14:paraId="6A0BA41E"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627,17</w:t>
            </w:r>
          </w:p>
        </w:tc>
        <w:tc>
          <w:tcPr>
            <w:tcW w:w="1701"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5BA40BD5"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587,50</w:t>
            </w:r>
          </w:p>
        </w:tc>
        <w:tc>
          <w:tcPr>
            <w:tcW w:w="1559" w:type="dxa"/>
            <w:tcBorders>
              <w:top w:val="single" w:sz="4" w:space="0" w:color="auto"/>
              <w:left w:val="nil"/>
              <w:bottom w:val="single" w:sz="8" w:space="0" w:color="auto"/>
              <w:right w:val="single" w:sz="8" w:space="0" w:color="auto"/>
            </w:tcBorders>
            <w:shd w:val="clear" w:color="auto" w:fill="D9D9D9" w:themeFill="background1" w:themeFillShade="D9"/>
            <w:vAlign w:val="center"/>
          </w:tcPr>
          <w:p w14:paraId="3F66CAAA" w14:textId="77777777" w:rsidR="000D44B3" w:rsidRPr="001A6227" w:rsidRDefault="000D44B3"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548,25</w:t>
            </w:r>
          </w:p>
        </w:tc>
      </w:tr>
    </w:tbl>
    <w:p w14:paraId="05D18772" w14:textId="77777777" w:rsidR="000D44B3" w:rsidRPr="001A6227" w:rsidRDefault="000D44B3">
      <w:pPr>
        <w:rPr>
          <w:rFonts w:ascii="Arial" w:hAnsi="Arial" w:cs="Arial"/>
          <w:sz w:val="16"/>
          <w:szCs w:val="16"/>
        </w:rPr>
      </w:pPr>
    </w:p>
    <w:p w14:paraId="5245C222" w14:textId="77777777" w:rsidR="0014764D" w:rsidRPr="001A6227" w:rsidRDefault="005A5DDC" w:rsidP="0014764D">
      <w:pPr>
        <w:spacing w:after="0" w:line="240" w:lineRule="auto"/>
        <w:rPr>
          <w:rFonts w:ascii="Arial" w:eastAsia="Times New Roman" w:hAnsi="Arial" w:cs="Arial"/>
          <w:b/>
          <w:bCs/>
          <w:u w:val="single"/>
          <w:lang w:eastAsia="fr-FR"/>
        </w:rPr>
      </w:pPr>
      <w:r w:rsidRPr="001A6227">
        <w:rPr>
          <w:rFonts w:ascii="Arial" w:eastAsia="Times New Roman" w:hAnsi="Arial" w:cs="Arial"/>
          <w:b/>
          <w:bCs/>
          <w:u w:val="single"/>
          <w:lang w:eastAsia="fr-FR"/>
        </w:rPr>
        <w:t xml:space="preserve">Extrait du tableau de bord : </w:t>
      </w:r>
      <w:r w:rsidR="0014764D" w:rsidRPr="001A6227">
        <w:rPr>
          <w:rFonts w:ascii="Arial" w:eastAsia="Times New Roman" w:hAnsi="Arial" w:cs="Arial"/>
          <w:b/>
          <w:bCs/>
          <w:u w:val="single"/>
          <w:lang w:eastAsia="fr-FR"/>
        </w:rPr>
        <w:t>ANALYSE DE LA PERFORMANCE</w:t>
      </w:r>
      <w:r w:rsidR="00EF688B" w:rsidRPr="001A6227">
        <w:rPr>
          <w:rFonts w:ascii="Arial" w:eastAsia="Times New Roman" w:hAnsi="Arial" w:cs="Arial"/>
          <w:b/>
          <w:bCs/>
          <w:u w:val="single"/>
          <w:lang w:eastAsia="fr-FR"/>
        </w:rPr>
        <w:t xml:space="preserve"> ORGANISATIONNELLE</w:t>
      </w:r>
    </w:p>
    <w:p w14:paraId="59356226" w14:textId="77777777" w:rsidR="0014764D" w:rsidRPr="001A6227" w:rsidRDefault="0014764D" w:rsidP="0014764D">
      <w:pPr>
        <w:spacing w:after="0" w:line="240" w:lineRule="auto"/>
        <w:rPr>
          <w:rFonts w:ascii="Arial" w:eastAsia="Times New Roman" w:hAnsi="Arial" w:cs="Arial"/>
          <w:bCs/>
          <w:sz w:val="16"/>
          <w:szCs w:val="16"/>
          <w:lang w:eastAsia="fr-FR"/>
        </w:rPr>
      </w:pPr>
    </w:p>
    <w:p w14:paraId="700336CD" w14:textId="722F1DFC" w:rsidR="0014764D" w:rsidRPr="001A6227" w:rsidRDefault="00EF688B" w:rsidP="0014764D">
      <w:pPr>
        <w:spacing w:after="0" w:line="240" w:lineRule="auto"/>
        <w:rPr>
          <w:rFonts w:ascii="Arial" w:eastAsia="Times New Roman" w:hAnsi="Arial" w:cs="Arial"/>
          <w:bCs/>
          <w:lang w:eastAsia="fr-FR"/>
        </w:rPr>
      </w:pPr>
      <w:r w:rsidRPr="001A6227">
        <w:rPr>
          <w:rFonts w:ascii="Arial" w:eastAsia="Times New Roman" w:hAnsi="Arial" w:cs="Arial"/>
          <w:bCs/>
          <w:lang w:eastAsia="fr-FR"/>
        </w:rPr>
        <w:t>L’entreprise a pour objectif d’atteindre les taux de référence du CNR</w:t>
      </w:r>
    </w:p>
    <w:tbl>
      <w:tblPr>
        <w:tblW w:w="9938" w:type="dxa"/>
        <w:tblInd w:w="55" w:type="dxa"/>
        <w:tblLayout w:type="fixed"/>
        <w:tblCellMar>
          <w:left w:w="70" w:type="dxa"/>
          <w:right w:w="70" w:type="dxa"/>
        </w:tblCellMar>
        <w:tblLook w:val="04A0" w:firstRow="1" w:lastRow="0" w:firstColumn="1" w:lastColumn="0" w:noHBand="0" w:noVBand="1"/>
      </w:tblPr>
      <w:tblGrid>
        <w:gridCol w:w="1716"/>
        <w:gridCol w:w="993"/>
        <w:gridCol w:w="850"/>
        <w:gridCol w:w="1373"/>
        <w:gridCol w:w="1604"/>
        <w:gridCol w:w="1701"/>
        <w:gridCol w:w="1701"/>
      </w:tblGrid>
      <w:tr w:rsidR="001A6227" w:rsidRPr="001A6227" w14:paraId="5A28FD54" w14:textId="77777777" w:rsidTr="00413818">
        <w:trPr>
          <w:trHeight w:val="1020"/>
        </w:trPr>
        <w:tc>
          <w:tcPr>
            <w:tcW w:w="171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65A3EFF" w14:textId="77777777" w:rsidR="0014764D" w:rsidRPr="001A6227" w:rsidRDefault="0014764D" w:rsidP="00413818">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 Indicateur</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0F2FA577" w14:textId="77777777" w:rsidR="0014764D" w:rsidRPr="001A6227" w:rsidRDefault="0014764D"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2018</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31EB7E21" w14:textId="77777777" w:rsidR="0014764D" w:rsidRPr="001A6227" w:rsidRDefault="0014764D"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2020</w:t>
            </w:r>
          </w:p>
        </w:tc>
        <w:tc>
          <w:tcPr>
            <w:tcW w:w="1373" w:type="dxa"/>
            <w:tcBorders>
              <w:top w:val="single" w:sz="8" w:space="0" w:color="auto"/>
              <w:left w:val="nil"/>
              <w:bottom w:val="single" w:sz="4" w:space="0" w:color="auto"/>
              <w:right w:val="single" w:sz="8" w:space="0" w:color="auto"/>
            </w:tcBorders>
            <w:shd w:val="clear" w:color="auto" w:fill="auto"/>
            <w:vAlign w:val="center"/>
            <w:hideMark/>
          </w:tcPr>
          <w:p w14:paraId="32527ECC" w14:textId="77777777" w:rsidR="0014764D" w:rsidRPr="001A6227" w:rsidRDefault="0014764D"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 xml:space="preserve">Référence </w:t>
            </w:r>
            <w:r w:rsidRPr="001A6227">
              <w:rPr>
                <w:rFonts w:ascii="Arial" w:eastAsia="Times New Roman" w:hAnsi="Arial" w:cs="Arial"/>
                <w:b/>
                <w:bCs/>
                <w:lang w:eastAsia="fr-FR"/>
              </w:rPr>
              <w:br/>
              <w:t>CNR*</w:t>
            </w:r>
          </w:p>
        </w:tc>
        <w:tc>
          <w:tcPr>
            <w:tcW w:w="160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1D7248A" w14:textId="77777777" w:rsidR="009711C1" w:rsidRDefault="0014764D" w:rsidP="00413818">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Évolution 2020 / 2018 en %</w:t>
            </w:r>
            <w:r w:rsidR="009711C1">
              <w:rPr>
                <w:rFonts w:ascii="Arial" w:eastAsia="Times New Roman" w:hAnsi="Arial" w:cs="Arial"/>
                <w:b/>
                <w:bCs/>
                <w:lang w:eastAsia="fr-FR"/>
              </w:rPr>
              <w:t xml:space="preserve"> </w:t>
            </w:r>
          </w:p>
          <w:p w14:paraId="55A18019" w14:textId="1635FB05" w:rsidR="0014764D" w:rsidRPr="001A6227" w:rsidRDefault="0014764D" w:rsidP="00413818">
            <w:pPr>
              <w:spacing w:after="0" w:line="240" w:lineRule="auto"/>
              <w:jc w:val="center"/>
              <w:rPr>
                <w:rFonts w:ascii="Arial" w:eastAsia="Times New Roman" w:hAnsi="Arial" w:cs="Arial"/>
                <w:b/>
                <w:bCs/>
                <w:lang w:eastAsia="fr-FR"/>
              </w:rPr>
            </w:pP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2FBC213D" w14:textId="77777777" w:rsidR="009711C1" w:rsidRDefault="00B14333" w:rsidP="00B14333">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Calcul</w:t>
            </w:r>
            <w:r w:rsidR="0014764D" w:rsidRPr="001A6227">
              <w:rPr>
                <w:rFonts w:ascii="Arial" w:eastAsia="Times New Roman" w:hAnsi="Arial" w:cs="Arial"/>
                <w:b/>
                <w:bCs/>
                <w:lang w:eastAsia="fr-FR"/>
              </w:rPr>
              <w:t xml:space="preserve"> 2018 / Référence CNR en %</w:t>
            </w:r>
          </w:p>
          <w:p w14:paraId="5F53F90D" w14:textId="07499AEE" w:rsidR="0014764D" w:rsidRPr="001A6227" w:rsidRDefault="009711C1" w:rsidP="00B14333">
            <w:pPr>
              <w:spacing w:after="0" w:line="240" w:lineRule="auto"/>
              <w:jc w:val="center"/>
              <w:rPr>
                <w:rFonts w:ascii="Arial" w:eastAsia="Times New Roman" w:hAnsi="Arial" w:cs="Arial"/>
                <w:b/>
                <w:bCs/>
                <w:lang w:eastAsia="fr-FR"/>
              </w:rPr>
            </w:pPr>
            <w:r>
              <w:rPr>
                <w:rFonts w:ascii="Arial" w:eastAsia="Times New Roman" w:hAnsi="Arial" w:cs="Arial"/>
                <w:b/>
                <w:bCs/>
                <w:lang w:eastAsia="fr-FR"/>
              </w:rPr>
              <w:t xml:space="preserve"> </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33864409" w14:textId="77777777" w:rsidR="009711C1" w:rsidRDefault="00B14333" w:rsidP="00B14333">
            <w:pPr>
              <w:spacing w:after="0" w:line="240" w:lineRule="auto"/>
              <w:jc w:val="center"/>
              <w:rPr>
                <w:rFonts w:ascii="Arial" w:eastAsia="Times New Roman" w:hAnsi="Arial" w:cs="Arial"/>
                <w:b/>
                <w:bCs/>
                <w:lang w:eastAsia="fr-FR"/>
              </w:rPr>
            </w:pPr>
            <w:r w:rsidRPr="001A6227">
              <w:rPr>
                <w:rFonts w:ascii="Arial" w:eastAsia="Times New Roman" w:hAnsi="Arial" w:cs="Arial"/>
                <w:b/>
                <w:bCs/>
                <w:lang w:eastAsia="fr-FR"/>
              </w:rPr>
              <w:t xml:space="preserve">Calcul </w:t>
            </w:r>
            <w:r w:rsidR="0014764D" w:rsidRPr="001A6227">
              <w:rPr>
                <w:rFonts w:ascii="Arial" w:eastAsia="Times New Roman" w:hAnsi="Arial" w:cs="Arial"/>
                <w:b/>
                <w:bCs/>
                <w:lang w:eastAsia="fr-FR"/>
              </w:rPr>
              <w:t>2020 / Référence CNR en %</w:t>
            </w:r>
          </w:p>
          <w:p w14:paraId="40ECDEB8" w14:textId="5E04DC9D" w:rsidR="0014764D" w:rsidRPr="001A6227" w:rsidRDefault="0014764D" w:rsidP="00B14333">
            <w:pPr>
              <w:spacing w:after="0" w:line="240" w:lineRule="auto"/>
              <w:jc w:val="center"/>
              <w:rPr>
                <w:rFonts w:ascii="Arial" w:eastAsia="Times New Roman" w:hAnsi="Arial" w:cs="Arial"/>
                <w:b/>
                <w:bCs/>
                <w:lang w:eastAsia="fr-FR"/>
              </w:rPr>
            </w:pPr>
          </w:p>
        </w:tc>
      </w:tr>
      <w:tr w:rsidR="001A6227" w:rsidRPr="001A6227" w14:paraId="4854C1FE" w14:textId="77777777" w:rsidTr="00413818">
        <w:trPr>
          <w:trHeight w:val="1033"/>
        </w:trPr>
        <w:tc>
          <w:tcPr>
            <w:tcW w:w="1716" w:type="dxa"/>
            <w:tcBorders>
              <w:top w:val="nil"/>
              <w:left w:val="single" w:sz="8" w:space="0" w:color="auto"/>
              <w:bottom w:val="single" w:sz="4" w:space="0" w:color="auto"/>
              <w:right w:val="single" w:sz="8" w:space="0" w:color="auto"/>
            </w:tcBorders>
            <w:shd w:val="clear" w:color="auto" w:fill="auto"/>
            <w:vAlign w:val="center"/>
            <w:hideMark/>
          </w:tcPr>
          <w:p w14:paraId="718B5A1A" w14:textId="77777777" w:rsidR="0014764D" w:rsidRPr="001A6227" w:rsidRDefault="0014764D" w:rsidP="009711C1">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Taux de parcours en charge</w:t>
            </w:r>
            <w:r w:rsidR="00A8130F" w:rsidRPr="001A6227">
              <w:rPr>
                <w:rFonts w:ascii="Arial" w:eastAsia="Times New Roman" w:hAnsi="Arial" w:cs="Arial"/>
                <w:b/>
                <w:bCs/>
                <w:lang w:eastAsia="fr-FR"/>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0A0C8871"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87%</w:t>
            </w:r>
          </w:p>
        </w:tc>
        <w:tc>
          <w:tcPr>
            <w:tcW w:w="850" w:type="dxa"/>
            <w:tcBorders>
              <w:top w:val="nil"/>
              <w:left w:val="nil"/>
              <w:bottom w:val="single" w:sz="4" w:space="0" w:color="auto"/>
              <w:right w:val="single" w:sz="4" w:space="0" w:color="auto"/>
            </w:tcBorders>
            <w:shd w:val="clear" w:color="auto" w:fill="auto"/>
            <w:vAlign w:val="center"/>
            <w:hideMark/>
          </w:tcPr>
          <w:p w14:paraId="1DDB073B"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80%</w:t>
            </w:r>
          </w:p>
        </w:tc>
        <w:tc>
          <w:tcPr>
            <w:tcW w:w="1373" w:type="dxa"/>
            <w:tcBorders>
              <w:top w:val="nil"/>
              <w:left w:val="nil"/>
              <w:bottom w:val="single" w:sz="4" w:space="0" w:color="auto"/>
              <w:right w:val="single" w:sz="8" w:space="0" w:color="auto"/>
            </w:tcBorders>
            <w:shd w:val="clear" w:color="auto" w:fill="auto"/>
            <w:vAlign w:val="center"/>
            <w:hideMark/>
          </w:tcPr>
          <w:p w14:paraId="76B13467"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86,50%</w:t>
            </w:r>
          </w:p>
        </w:tc>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448AF" w14:textId="77777777" w:rsidR="0014764D" w:rsidRPr="001A6227" w:rsidRDefault="0014764D" w:rsidP="0014764D">
            <w:pPr>
              <w:spacing w:line="240" w:lineRule="auto"/>
              <w:jc w:val="center"/>
              <w:rPr>
                <w:rFonts w:ascii="Arial" w:eastAsia="Times New Roman" w:hAnsi="Arial" w:cs="Arial"/>
                <w:lang w:eastAsia="fr-FR"/>
              </w:rPr>
            </w:pPr>
            <w:r w:rsidRPr="001A6227">
              <w:rPr>
                <w:rFonts w:ascii="Arial" w:eastAsia="Times New Roman" w:hAnsi="Arial" w:cs="Arial"/>
                <w:lang w:eastAsia="fr-FR"/>
              </w:rPr>
              <w:t>- 08,05</w:t>
            </w:r>
            <w:r w:rsidR="00246824" w:rsidRPr="001A6227">
              <w:rPr>
                <w:rFonts w:ascii="Arial" w:eastAsia="Times New Roman" w:hAnsi="Arial" w:cs="Arial"/>
                <w:lang w:eastAsia="fr-FR"/>
              </w:rPr>
              <w:t xml:space="preserve">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D51F63" w14:textId="77777777" w:rsidR="0014764D" w:rsidRPr="001A6227" w:rsidRDefault="00E90C67"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10</w:t>
            </w:r>
            <w:r w:rsidR="004723CE" w:rsidRPr="001A6227">
              <w:rPr>
                <w:rFonts w:ascii="Arial" w:eastAsia="Times New Roman" w:hAnsi="Arial" w:cs="Arial"/>
                <w:lang w:eastAsia="fr-FR"/>
              </w:rPr>
              <w:t>0</w:t>
            </w:r>
            <w:r w:rsidR="00300CBF" w:rsidRPr="001A6227">
              <w:rPr>
                <w:rFonts w:ascii="Arial" w:eastAsia="Times New Roman" w:hAnsi="Arial" w:cs="Arial"/>
                <w:lang w:eastAsia="fr-FR"/>
              </w:rPr>
              <w:t>,58</w:t>
            </w:r>
            <w:r w:rsidR="00246824" w:rsidRPr="001A6227">
              <w:rPr>
                <w:rFonts w:ascii="Arial" w:eastAsia="Times New Roman" w:hAnsi="Arial" w:cs="Arial"/>
                <w:lang w:eastAsia="fr-FR"/>
              </w:rPr>
              <w:t xml:space="preserve"> %</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22138C" w14:textId="77777777" w:rsidR="0014764D" w:rsidRPr="001A6227" w:rsidRDefault="00E90C67"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92</w:t>
            </w:r>
            <w:r w:rsidR="00300CBF" w:rsidRPr="001A6227">
              <w:rPr>
                <w:rFonts w:ascii="Arial" w:eastAsia="Times New Roman" w:hAnsi="Arial" w:cs="Arial"/>
                <w:lang w:eastAsia="fr-FR"/>
              </w:rPr>
              <w:t>,49</w:t>
            </w:r>
            <w:r w:rsidR="00246824" w:rsidRPr="001A6227">
              <w:rPr>
                <w:rFonts w:ascii="Arial" w:eastAsia="Times New Roman" w:hAnsi="Arial" w:cs="Arial"/>
                <w:lang w:eastAsia="fr-FR"/>
              </w:rPr>
              <w:t xml:space="preserve"> %</w:t>
            </w:r>
          </w:p>
        </w:tc>
      </w:tr>
      <w:tr w:rsidR="001A6227" w:rsidRPr="001A6227" w14:paraId="1ED081ED" w14:textId="77777777" w:rsidTr="00413818">
        <w:trPr>
          <w:trHeight w:val="991"/>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76A308D5" w14:textId="77777777" w:rsidR="0014764D" w:rsidRPr="001A6227" w:rsidRDefault="0014764D" w:rsidP="009711C1">
            <w:pPr>
              <w:spacing w:after="0" w:line="240" w:lineRule="auto"/>
              <w:rPr>
                <w:rFonts w:ascii="Arial" w:eastAsia="Times New Roman" w:hAnsi="Arial" w:cs="Arial"/>
                <w:b/>
                <w:bCs/>
                <w:lang w:eastAsia="fr-FR"/>
              </w:rPr>
            </w:pPr>
            <w:r w:rsidRPr="001A6227">
              <w:rPr>
                <w:rFonts w:ascii="Arial" w:eastAsia="Times New Roman" w:hAnsi="Arial" w:cs="Arial"/>
                <w:b/>
                <w:bCs/>
                <w:lang w:eastAsia="fr-FR"/>
              </w:rPr>
              <w:t>Taux de chargement sur parcours en charge</w:t>
            </w:r>
            <w:r w:rsidR="00A8130F" w:rsidRPr="001A6227">
              <w:rPr>
                <w:rFonts w:ascii="Arial" w:eastAsia="Times New Roman" w:hAnsi="Arial" w:cs="Arial"/>
                <w:b/>
                <w:bCs/>
                <w:lang w:eastAsia="fr-FR"/>
              </w:rPr>
              <w:t xml:space="preserve"> </w:t>
            </w:r>
          </w:p>
        </w:tc>
        <w:tc>
          <w:tcPr>
            <w:tcW w:w="993" w:type="dxa"/>
            <w:tcBorders>
              <w:top w:val="nil"/>
              <w:left w:val="nil"/>
              <w:bottom w:val="single" w:sz="8" w:space="0" w:color="auto"/>
              <w:right w:val="single" w:sz="4" w:space="0" w:color="auto"/>
            </w:tcBorders>
            <w:shd w:val="clear" w:color="auto" w:fill="auto"/>
            <w:vAlign w:val="center"/>
            <w:hideMark/>
          </w:tcPr>
          <w:p w14:paraId="6796D23B"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90%</w:t>
            </w:r>
          </w:p>
        </w:tc>
        <w:tc>
          <w:tcPr>
            <w:tcW w:w="850" w:type="dxa"/>
            <w:tcBorders>
              <w:top w:val="nil"/>
              <w:left w:val="nil"/>
              <w:bottom w:val="single" w:sz="8" w:space="0" w:color="auto"/>
              <w:right w:val="single" w:sz="4" w:space="0" w:color="auto"/>
            </w:tcBorders>
            <w:shd w:val="clear" w:color="auto" w:fill="auto"/>
            <w:vAlign w:val="center"/>
            <w:hideMark/>
          </w:tcPr>
          <w:p w14:paraId="200C0F35"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80%</w:t>
            </w:r>
          </w:p>
        </w:tc>
        <w:tc>
          <w:tcPr>
            <w:tcW w:w="1373" w:type="dxa"/>
            <w:tcBorders>
              <w:top w:val="nil"/>
              <w:left w:val="nil"/>
              <w:bottom w:val="single" w:sz="8" w:space="0" w:color="auto"/>
              <w:right w:val="single" w:sz="8" w:space="0" w:color="auto"/>
            </w:tcBorders>
            <w:shd w:val="clear" w:color="auto" w:fill="auto"/>
            <w:vAlign w:val="center"/>
            <w:hideMark/>
          </w:tcPr>
          <w:p w14:paraId="09B01BB4" w14:textId="77777777" w:rsidR="0014764D" w:rsidRPr="001A6227" w:rsidRDefault="0014764D"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88,20%</w:t>
            </w:r>
          </w:p>
        </w:tc>
        <w:tc>
          <w:tcPr>
            <w:tcW w:w="160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4238BC0" w14:textId="77777777" w:rsidR="0014764D" w:rsidRPr="001A6227" w:rsidRDefault="0014764D" w:rsidP="0014764D">
            <w:pPr>
              <w:spacing w:line="240" w:lineRule="auto"/>
              <w:jc w:val="center"/>
              <w:rPr>
                <w:rFonts w:ascii="Arial" w:eastAsia="Times New Roman" w:hAnsi="Arial" w:cs="Arial"/>
                <w:lang w:eastAsia="fr-FR"/>
              </w:rPr>
            </w:pPr>
            <w:r w:rsidRPr="001A6227">
              <w:rPr>
                <w:rFonts w:ascii="Arial" w:eastAsia="Times New Roman" w:hAnsi="Arial" w:cs="Arial"/>
                <w:lang w:eastAsia="fr-FR"/>
              </w:rPr>
              <w:t>- 11,11</w:t>
            </w:r>
            <w:r w:rsidR="00246824" w:rsidRPr="001A6227">
              <w:rPr>
                <w:rFonts w:ascii="Arial" w:eastAsia="Times New Roman" w:hAnsi="Arial" w:cs="Arial"/>
                <w:lang w:eastAsia="fr-FR"/>
              </w:rPr>
              <w:t xml:space="preserve"> %</w:t>
            </w:r>
          </w:p>
        </w:tc>
        <w:tc>
          <w:tcPr>
            <w:tcW w:w="1701"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22B529E8" w14:textId="77777777" w:rsidR="0014764D" w:rsidRPr="001A6227" w:rsidRDefault="00E90C67"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102</w:t>
            </w:r>
            <w:r w:rsidR="00300CBF" w:rsidRPr="001A6227">
              <w:rPr>
                <w:rFonts w:ascii="Arial" w:eastAsia="Times New Roman" w:hAnsi="Arial" w:cs="Arial"/>
                <w:lang w:eastAsia="fr-FR"/>
              </w:rPr>
              <w:t>,04</w:t>
            </w:r>
            <w:r w:rsidR="00246824" w:rsidRPr="001A6227">
              <w:rPr>
                <w:rFonts w:ascii="Arial" w:eastAsia="Times New Roman" w:hAnsi="Arial" w:cs="Arial"/>
                <w:lang w:eastAsia="fr-FR"/>
              </w:rPr>
              <w:t xml:space="preserve"> %</w:t>
            </w:r>
          </w:p>
        </w:tc>
        <w:tc>
          <w:tcPr>
            <w:tcW w:w="1701"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1B156500" w14:textId="77777777" w:rsidR="0014764D" w:rsidRPr="001A6227" w:rsidRDefault="00E90C67" w:rsidP="00413818">
            <w:pPr>
              <w:spacing w:after="0" w:line="240" w:lineRule="auto"/>
              <w:jc w:val="center"/>
              <w:rPr>
                <w:rFonts w:ascii="Arial" w:eastAsia="Times New Roman" w:hAnsi="Arial" w:cs="Arial"/>
                <w:lang w:eastAsia="fr-FR"/>
              </w:rPr>
            </w:pPr>
            <w:r w:rsidRPr="001A6227">
              <w:rPr>
                <w:rFonts w:ascii="Arial" w:eastAsia="Times New Roman" w:hAnsi="Arial" w:cs="Arial"/>
                <w:lang w:eastAsia="fr-FR"/>
              </w:rPr>
              <w:t>9</w:t>
            </w:r>
            <w:r w:rsidR="00300CBF" w:rsidRPr="001A6227">
              <w:rPr>
                <w:rFonts w:ascii="Arial" w:eastAsia="Times New Roman" w:hAnsi="Arial" w:cs="Arial"/>
                <w:lang w:eastAsia="fr-FR"/>
              </w:rPr>
              <w:t>0,7</w:t>
            </w:r>
            <w:r w:rsidR="00246824" w:rsidRPr="001A6227">
              <w:rPr>
                <w:rFonts w:ascii="Arial" w:eastAsia="Times New Roman" w:hAnsi="Arial" w:cs="Arial"/>
                <w:lang w:eastAsia="fr-FR"/>
              </w:rPr>
              <w:t xml:space="preserve"> %</w:t>
            </w:r>
          </w:p>
        </w:tc>
      </w:tr>
    </w:tbl>
    <w:p w14:paraId="40151B2B" w14:textId="77777777" w:rsidR="001D7E3F" w:rsidRPr="001A6227" w:rsidRDefault="001D7E3F">
      <w:pPr>
        <w:rPr>
          <w:rFonts w:ascii="Arial" w:hAnsi="Arial" w:cs="Arial"/>
        </w:rPr>
      </w:pPr>
      <w:r w:rsidRPr="001A6227">
        <w:rPr>
          <w:rFonts w:ascii="Arial" w:hAnsi="Arial" w:cs="Arial"/>
        </w:rPr>
        <w:br w:type="page"/>
      </w:r>
    </w:p>
    <w:p w14:paraId="04C011B3" w14:textId="77777777" w:rsidR="008F7194" w:rsidRPr="001A6227" w:rsidRDefault="005A5DDC" w:rsidP="008F7194">
      <w:pPr>
        <w:pStyle w:val="Paragraphedeliste"/>
        <w:numPr>
          <w:ilvl w:val="0"/>
          <w:numId w:val="2"/>
        </w:numPr>
        <w:spacing w:line="240" w:lineRule="auto"/>
        <w:rPr>
          <w:rFonts w:ascii="Arial" w:hAnsi="Arial" w:cs="Arial"/>
          <w:b/>
          <w:sz w:val="24"/>
          <w:szCs w:val="24"/>
        </w:rPr>
      </w:pPr>
      <w:r w:rsidRPr="001A6227">
        <w:rPr>
          <w:rFonts w:ascii="Arial" w:hAnsi="Arial" w:cs="Arial"/>
          <w:b/>
          <w:sz w:val="24"/>
          <w:szCs w:val="24"/>
        </w:rPr>
        <w:lastRenderedPageBreak/>
        <w:t xml:space="preserve">À partir de l’ensemble des informations fournies </w:t>
      </w:r>
      <w:r w:rsidR="00EF688B" w:rsidRPr="001A6227">
        <w:rPr>
          <w:rFonts w:ascii="Arial" w:hAnsi="Arial" w:cs="Arial"/>
          <w:b/>
          <w:sz w:val="24"/>
          <w:szCs w:val="24"/>
        </w:rPr>
        <w:t xml:space="preserve">en annexes </w:t>
      </w:r>
      <w:r w:rsidRPr="001A6227">
        <w:rPr>
          <w:rFonts w:ascii="Arial" w:hAnsi="Arial" w:cs="Arial"/>
          <w:b/>
          <w:sz w:val="24"/>
          <w:szCs w:val="24"/>
        </w:rPr>
        <w:t>et de vos calculs, a</w:t>
      </w:r>
      <w:r w:rsidR="008F7194" w:rsidRPr="001A6227">
        <w:rPr>
          <w:rFonts w:ascii="Arial" w:hAnsi="Arial" w:cs="Arial"/>
          <w:b/>
          <w:sz w:val="24"/>
          <w:szCs w:val="24"/>
        </w:rPr>
        <w:t xml:space="preserve">nalysez et commentez </w:t>
      </w:r>
      <w:r w:rsidRPr="001A6227">
        <w:rPr>
          <w:rFonts w:ascii="Arial" w:hAnsi="Arial" w:cs="Arial"/>
          <w:b/>
          <w:sz w:val="24"/>
          <w:szCs w:val="24"/>
        </w:rPr>
        <w:t xml:space="preserve">les différents </w:t>
      </w:r>
      <w:r w:rsidR="008F7194" w:rsidRPr="001A6227">
        <w:rPr>
          <w:rFonts w:ascii="Arial" w:hAnsi="Arial" w:cs="Arial"/>
          <w:b/>
          <w:sz w:val="24"/>
          <w:szCs w:val="24"/>
        </w:rPr>
        <w:t>élément</w:t>
      </w:r>
      <w:r w:rsidRPr="001A6227">
        <w:rPr>
          <w:rFonts w:ascii="Arial" w:hAnsi="Arial" w:cs="Arial"/>
          <w:b/>
          <w:sz w:val="24"/>
          <w:szCs w:val="24"/>
        </w:rPr>
        <w:t>s de la performance commerciale</w:t>
      </w:r>
      <w:r w:rsidR="00EF688B" w:rsidRPr="001A6227">
        <w:rPr>
          <w:rFonts w:ascii="Arial" w:hAnsi="Arial" w:cs="Arial"/>
          <w:b/>
          <w:sz w:val="24"/>
          <w:szCs w:val="24"/>
        </w:rPr>
        <w:t xml:space="preserve"> et organisationnelle.</w:t>
      </w:r>
      <w:r w:rsidR="009D6BA0" w:rsidRPr="001A6227">
        <w:rPr>
          <w:rFonts w:ascii="Arial" w:hAnsi="Arial" w:cs="Arial"/>
          <w:b/>
          <w:sz w:val="24"/>
          <w:szCs w:val="24"/>
        </w:rPr>
        <w:tab/>
      </w:r>
      <w:r w:rsidR="009D6BA0" w:rsidRPr="001A6227">
        <w:rPr>
          <w:rFonts w:ascii="Arial" w:hAnsi="Arial" w:cs="Arial"/>
          <w:b/>
          <w:sz w:val="24"/>
          <w:szCs w:val="24"/>
        </w:rPr>
        <w:tab/>
      </w:r>
      <w:r w:rsidR="009711C1">
        <w:rPr>
          <w:rFonts w:ascii="Arial" w:hAnsi="Arial" w:cs="Arial"/>
          <w:b/>
          <w:sz w:val="24"/>
          <w:szCs w:val="24"/>
          <w:highlight w:val="yellow"/>
        </w:rPr>
        <w:t>8</w:t>
      </w:r>
      <w:r w:rsidR="009D6BA0" w:rsidRPr="009711C1">
        <w:rPr>
          <w:rFonts w:ascii="Arial" w:hAnsi="Arial" w:cs="Arial"/>
          <w:b/>
          <w:sz w:val="24"/>
          <w:szCs w:val="24"/>
          <w:highlight w:val="yellow"/>
        </w:rPr>
        <w:t xml:space="preserve"> points</w:t>
      </w:r>
    </w:p>
    <w:p w14:paraId="5773A1AB" w14:textId="77777777" w:rsidR="008F7194" w:rsidRPr="001A6227" w:rsidRDefault="008F7194" w:rsidP="008F7194">
      <w:pPr>
        <w:pStyle w:val="Paragraphedeliste"/>
        <w:rPr>
          <w:rFonts w:ascii="Arial" w:hAnsi="Arial" w:cs="Arial"/>
        </w:rPr>
      </w:pPr>
    </w:p>
    <w:p w14:paraId="0A0E0C51" w14:textId="62CEFC43" w:rsidR="008F7194" w:rsidRPr="001A6227" w:rsidRDefault="004C3B93" w:rsidP="00EF688B">
      <w:pPr>
        <w:spacing w:after="0" w:line="240" w:lineRule="auto"/>
        <w:jc w:val="both"/>
        <w:rPr>
          <w:rFonts w:ascii="Arial" w:eastAsia="Times New Roman" w:hAnsi="Arial" w:cs="Arial"/>
          <w:b/>
          <w:bCs/>
          <w:u w:val="single"/>
          <w:lang w:eastAsia="fr-FR"/>
        </w:rPr>
      </w:pPr>
      <w:r>
        <w:rPr>
          <w:rFonts w:ascii="Arial" w:eastAsia="Times New Roman" w:hAnsi="Arial" w:cs="Arial"/>
          <w:b/>
          <w:bCs/>
          <w:u w:val="single"/>
          <w:lang w:eastAsia="fr-FR"/>
        </w:rPr>
        <w:t>1-</w:t>
      </w:r>
      <w:r w:rsidR="008F7194" w:rsidRPr="001A6227">
        <w:rPr>
          <w:rFonts w:ascii="Arial" w:eastAsia="Times New Roman" w:hAnsi="Arial" w:cs="Arial"/>
          <w:b/>
          <w:bCs/>
          <w:u w:val="single"/>
          <w:lang w:eastAsia="fr-FR"/>
        </w:rPr>
        <w:t>ACTIVITÉ ET CHIFFRE D’AFFAIRES</w:t>
      </w:r>
      <w:r w:rsidR="009D6BA0" w:rsidRPr="001A6227">
        <w:rPr>
          <w:rFonts w:ascii="Arial" w:eastAsia="Times New Roman" w:hAnsi="Arial" w:cs="Arial"/>
          <w:b/>
          <w:bCs/>
          <w:lang w:eastAsia="fr-FR"/>
        </w:rPr>
        <w:tab/>
      </w:r>
    </w:p>
    <w:p w14:paraId="57FB482E" w14:textId="77777777" w:rsidR="008F7194" w:rsidRPr="001A6227" w:rsidRDefault="008F7194" w:rsidP="00EF688B">
      <w:pPr>
        <w:spacing w:after="0" w:line="240" w:lineRule="auto"/>
        <w:jc w:val="both"/>
        <w:rPr>
          <w:rFonts w:ascii="Arial" w:eastAsia="Times New Roman" w:hAnsi="Arial" w:cs="Arial"/>
          <w:b/>
          <w:bCs/>
          <w:u w:val="single"/>
          <w:lang w:eastAsia="fr-FR"/>
        </w:rPr>
      </w:pPr>
    </w:p>
    <w:p w14:paraId="5E0CF4DC" w14:textId="77777777" w:rsidR="00FA109E" w:rsidRPr="001A6227" w:rsidRDefault="00FA109E" w:rsidP="00EF688B">
      <w:pPr>
        <w:spacing w:after="0" w:line="240" w:lineRule="auto"/>
        <w:jc w:val="both"/>
        <w:rPr>
          <w:rFonts w:ascii="Arial" w:eastAsia="Times New Roman" w:hAnsi="Arial" w:cs="Arial"/>
          <w:bCs/>
          <w:lang w:eastAsia="fr-FR"/>
        </w:rPr>
      </w:pPr>
      <w:r w:rsidRPr="001A6227">
        <w:rPr>
          <w:rFonts w:ascii="Arial" w:eastAsia="Times New Roman" w:hAnsi="Arial" w:cs="Arial"/>
          <w:b/>
          <w:bCs/>
          <w:lang w:eastAsia="fr-FR"/>
        </w:rPr>
        <w:t>Évolution du CA</w:t>
      </w:r>
      <w:r w:rsidRPr="001A6227">
        <w:rPr>
          <w:rFonts w:ascii="Arial" w:eastAsia="Times New Roman" w:hAnsi="Arial" w:cs="Arial"/>
          <w:bCs/>
          <w:lang w:eastAsia="fr-FR"/>
        </w:rPr>
        <w:t xml:space="preserve"> de 17,36 % depuis 2016 avec une augmentation sensible depuis 2019.</w:t>
      </w:r>
    </w:p>
    <w:p w14:paraId="321A8832" w14:textId="24AC9196" w:rsidR="00FA109E" w:rsidRPr="004C3B93" w:rsidRDefault="00FA109E"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L’activité transport progresse alors que celle de commissionnaire diminue. Cela s’explique par le fait qu’une entreprise ne peut sous-traiter plus de 15% de son chiffre d’affaires, et qu’à partir de 2019 elle n’a plus d’attestataire de capacité commissionnaire.</w:t>
      </w:r>
    </w:p>
    <w:p w14:paraId="3EE7ABB3" w14:textId="77777777" w:rsidR="00FA109E" w:rsidRPr="001A6227" w:rsidRDefault="00FA109E"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Les transports sont donc réalisés par les moyens de l’entreprise, ce qui suppose que ses moyens roulants et humains n’étaient pas employés à leur pleine capacité.</w:t>
      </w:r>
    </w:p>
    <w:p w14:paraId="58B2BB15" w14:textId="77777777" w:rsidR="00FA109E" w:rsidRPr="001A6227" w:rsidRDefault="00FA109E" w:rsidP="00EF688B">
      <w:pPr>
        <w:spacing w:after="0" w:line="240" w:lineRule="auto"/>
        <w:jc w:val="both"/>
        <w:rPr>
          <w:rFonts w:ascii="Arial" w:eastAsia="Times New Roman" w:hAnsi="Arial" w:cs="Arial"/>
          <w:bCs/>
          <w:lang w:eastAsia="fr-FR"/>
        </w:rPr>
      </w:pPr>
    </w:p>
    <w:p w14:paraId="5BBFF24A" w14:textId="476BFAA5" w:rsidR="00FA109E" w:rsidRPr="001A6227" w:rsidRDefault="00FA109E"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La rentabilité quant à elle diminue. L’entreprise a plus d’activité mais gagne moins. Jusqu’en 2018 la marge </w:t>
      </w:r>
      <w:r w:rsidR="009D1C51" w:rsidRPr="001A6227">
        <w:rPr>
          <w:rFonts w:ascii="Arial" w:eastAsia="Times New Roman" w:hAnsi="Arial" w:cs="Arial"/>
          <w:bCs/>
          <w:lang w:eastAsia="fr-FR"/>
        </w:rPr>
        <w:t xml:space="preserve">oscille autour de 11,3 % et à compter de 2019 elle chute </w:t>
      </w:r>
      <w:r w:rsidR="00B948FF" w:rsidRPr="001A6227">
        <w:rPr>
          <w:rFonts w:ascii="Arial" w:eastAsia="Times New Roman" w:hAnsi="Arial" w:cs="Arial"/>
          <w:bCs/>
          <w:lang w:eastAsia="fr-FR"/>
        </w:rPr>
        <w:t>et passe à moins de 10 %.</w:t>
      </w:r>
      <w:r w:rsidR="00EA7592">
        <w:rPr>
          <w:rFonts w:ascii="Arial" w:eastAsia="Times New Roman" w:hAnsi="Arial" w:cs="Arial"/>
          <w:b/>
          <w:bCs/>
          <w:lang w:eastAsia="fr-FR"/>
        </w:rPr>
        <w:t xml:space="preserve"> </w:t>
      </w:r>
      <w:r w:rsidR="00B948FF" w:rsidRPr="001A6227">
        <w:rPr>
          <w:rFonts w:ascii="Arial" w:eastAsia="Times New Roman" w:hAnsi="Arial" w:cs="Arial"/>
          <w:bCs/>
          <w:lang w:eastAsia="fr-FR"/>
        </w:rPr>
        <w:t>La marge observée dans la profession permet de dire que</w:t>
      </w:r>
      <w:r w:rsidR="009D1C51" w:rsidRPr="001A6227">
        <w:rPr>
          <w:rFonts w:ascii="Arial" w:eastAsia="Times New Roman" w:hAnsi="Arial" w:cs="Arial"/>
          <w:bCs/>
          <w:lang w:eastAsia="fr-FR"/>
        </w:rPr>
        <w:t xml:space="preserve"> l’activité commissionnaire </w:t>
      </w:r>
      <w:r w:rsidR="00B948FF" w:rsidRPr="001A6227">
        <w:rPr>
          <w:rFonts w:ascii="Arial" w:eastAsia="Times New Roman" w:hAnsi="Arial" w:cs="Arial"/>
          <w:bCs/>
          <w:lang w:eastAsia="fr-FR"/>
        </w:rPr>
        <w:t>est</w:t>
      </w:r>
      <w:r w:rsidR="009D1C51" w:rsidRPr="001A6227">
        <w:rPr>
          <w:rFonts w:ascii="Arial" w:eastAsia="Times New Roman" w:hAnsi="Arial" w:cs="Arial"/>
          <w:bCs/>
          <w:lang w:eastAsia="fr-FR"/>
        </w:rPr>
        <w:t xml:space="preserve"> génératrice de marge importante. Avec le départ de l’attestataire les transports réalisés sont plus no</w:t>
      </w:r>
      <w:r w:rsidR="00B948FF" w:rsidRPr="001A6227">
        <w:rPr>
          <w:rFonts w:ascii="Arial" w:eastAsia="Times New Roman" w:hAnsi="Arial" w:cs="Arial"/>
          <w:bCs/>
          <w:lang w:eastAsia="fr-FR"/>
        </w:rPr>
        <w:t xml:space="preserve">mbreux mais moins rentables en raison d’une marge plus faible (entre 3,7 et 3) et de transports </w:t>
      </w:r>
      <w:r w:rsidR="009D1C51" w:rsidRPr="001A6227">
        <w:rPr>
          <w:rFonts w:ascii="Arial" w:eastAsia="Times New Roman" w:hAnsi="Arial" w:cs="Arial"/>
          <w:bCs/>
          <w:lang w:eastAsia="fr-FR"/>
        </w:rPr>
        <w:t>certainement non optimisés</w:t>
      </w:r>
      <w:r w:rsidR="00EA7592">
        <w:rPr>
          <w:rFonts w:ascii="Arial" w:eastAsia="Times New Roman" w:hAnsi="Arial" w:cs="Arial"/>
          <w:bCs/>
          <w:lang w:eastAsia="fr-FR"/>
        </w:rPr>
        <w:t>.</w:t>
      </w:r>
    </w:p>
    <w:p w14:paraId="6DBEDCAB" w14:textId="77777777" w:rsidR="009D1C51" w:rsidRPr="001A6227" w:rsidRDefault="009D1C51" w:rsidP="00EF688B">
      <w:pPr>
        <w:spacing w:after="0" w:line="240" w:lineRule="auto"/>
        <w:jc w:val="both"/>
        <w:rPr>
          <w:rFonts w:ascii="Arial" w:eastAsia="Times New Roman" w:hAnsi="Arial" w:cs="Arial"/>
          <w:bCs/>
          <w:lang w:eastAsia="fr-FR"/>
        </w:rPr>
      </w:pPr>
    </w:p>
    <w:p w14:paraId="4E247984" w14:textId="1CE3F5B7" w:rsidR="009D1C51" w:rsidRPr="001A6227" w:rsidRDefault="009D1C51" w:rsidP="00EF688B">
      <w:pPr>
        <w:spacing w:after="0" w:line="240" w:lineRule="auto"/>
        <w:jc w:val="both"/>
        <w:rPr>
          <w:rFonts w:ascii="Arial" w:eastAsia="Times New Roman" w:hAnsi="Arial" w:cs="Arial"/>
          <w:b/>
          <w:bCs/>
          <w:u w:val="single"/>
          <w:lang w:eastAsia="fr-FR"/>
        </w:rPr>
      </w:pPr>
      <w:r w:rsidRPr="001A6227">
        <w:rPr>
          <w:rFonts w:ascii="Arial" w:eastAsia="Times New Roman" w:hAnsi="Arial" w:cs="Arial"/>
          <w:b/>
          <w:bCs/>
          <w:u w:val="single"/>
          <w:lang w:eastAsia="fr-FR"/>
        </w:rPr>
        <w:t>LE PORTEFEUILLE CLIENTS</w:t>
      </w:r>
      <w:r w:rsidR="009D6BA0" w:rsidRPr="001A6227">
        <w:rPr>
          <w:rFonts w:ascii="Arial" w:eastAsia="Times New Roman" w:hAnsi="Arial" w:cs="Arial"/>
          <w:b/>
          <w:bCs/>
          <w:lang w:eastAsia="fr-FR"/>
        </w:rPr>
        <w:tab/>
      </w:r>
    </w:p>
    <w:p w14:paraId="68569E48" w14:textId="77777777" w:rsidR="00150EB8" w:rsidRPr="001A6227" w:rsidRDefault="00150EB8"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Le portefeuille secteur Nord-Ouest compte 40 clients en </w:t>
      </w:r>
      <w:r w:rsidRPr="001A6227">
        <w:rPr>
          <w:rFonts w:ascii="Arial" w:eastAsia="Times New Roman" w:hAnsi="Arial" w:cs="Arial"/>
          <w:b/>
          <w:bCs/>
          <w:lang w:eastAsia="fr-FR"/>
        </w:rPr>
        <w:t>2018</w:t>
      </w:r>
      <w:r w:rsidRPr="001A6227">
        <w:rPr>
          <w:rFonts w:ascii="Arial" w:eastAsia="Times New Roman" w:hAnsi="Arial" w:cs="Arial"/>
          <w:bCs/>
          <w:lang w:eastAsia="fr-FR"/>
        </w:rPr>
        <w:t xml:space="preserve">. Il est plutôt équilibré, même s’il ne répond pas totalement aux caractéristiques observées dans la profession </w:t>
      </w:r>
      <w:proofErr w:type="gramStart"/>
      <w:r w:rsidRPr="001A6227">
        <w:rPr>
          <w:rFonts w:ascii="Arial" w:eastAsia="Times New Roman" w:hAnsi="Arial" w:cs="Arial"/>
          <w:bCs/>
          <w:lang w:eastAsia="fr-FR"/>
        </w:rPr>
        <w:t>en terme de</w:t>
      </w:r>
      <w:proofErr w:type="gramEnd"/>
      <w:r w:rsidRPr="001A6227">
        <w:rPr>
          <w:rFonts w:ascii="Arial" w:eastAsia="Times New Roman" w:hAnsi="Arial" w:cs="Arial"/>
          <w:bCs/>
          <w:lang w:eastAsia="fr-FR"/>
        </w:rPr>
        <w:t xml:space="preserve"> répartition par type de clients</w:t>
      </w:r>
    </w:p>
    <w:p w14:paraId="5E032E7C" w14:textId="77777777" w:rsidR="00150EB8" w:rsidRPr="001A6227" w:rsidRDefault="00150EB8"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Les petits clients sont plus nombreux : 35 % au lieu de 10 % observés dans la profession.</w:t>
      </w:r>
    </w:p>
    <w:p w14:paraId="3B1B2E54" w14:textId="77777777" w:rsidR="00150EB8" w:rsidRPr="001A6227" w:rsidRDefault="00150EB8"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Les catégories « client moyen » et « client important » sont elles sous-représentées : respectivement 42,5 % et 22,5 % contre 60 % et 30 %.</w:t>
      </w:r>
    </w:p>
    <w:p w14:paraId="1CCD19D8" w14:textId="77777777" w:rsidR="00150EB8" w:rsidRPr="004C3B93" w:rsidRDefault="00150EB8"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En </w:t>
      </w:r>
      <w:r w:rsidRPr="001A6227">
        <w:rPr>
          <w:rFonts w:ascii="Arial" w:eastAsia="Times New Roman" w:hAnsi="Arial" w:cs="Arial"/>
          <w:b/>
          <w:bCs/>
          <w:lang w:eastAsia="fr-FR"/>
        </w:rPr>
        <w:t>2020</w:t>
      </w:r>
      <w:r w:rsidRPr="001A6227">
        <w:rPr>
          <w:rFonts w:ascii="Arial" w:eastAsia="Times New Roman" w:hAnsi="Arial" w:cs="Arial"/>
          <w:bCs/>
          <w:lang w:eastAsia="fr-FR"/>
        </w:rPr>
        <w:t xml:space="preserve">, on enregistre une perte de 5 clients et la répartition est sensiblement modifiée. Les petits clients déjà trop nombreux par rapport à l’observation de la profession sont encore plus importants et représentent presque 70 %. </w:t>
      </w:r>
    </w:p>
    <w:p w14:paraId="03653855" w14:textId="77777777" w:rsidR="004D6113" w:rsidRPr="001A6227" w:rsidRDefault="004D6113"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La catégorie des clients moyens diminue fortement pour ne plus représenter que 17 %. C’est également vrai pour les clients importants.</w:t>
      </w:r>
    </w:p>
    <w:p w14:paraId="5D2EC595" w14:textId="77777777" w:rsidR="004D6113" w:rsidRPr="001A6227" w:rsidRDefault="004D6113" w:rsidP="00EF688B">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On peut donc penser que le fait de ne plus pouvoir affréter au-delà des 15 % légaux sans attestataire de capacité de commissionnaire a amené les exploitants à chercher davantage de fret chez les « petits clients ». La réponse aux besoins des clients moyens était très certainement trouvée pour partie dans l’affrètement. Cette possibilité disparaissant l’entreprise voit la perte de clients.</w:t>
      </w:r>
    </w:p>
    <w:p w14:paraId="665EC183" w14:textId="77777777" w:rsidR="004D6113" w:rsidRPr="001A6227" w:rsidRDefault="004D6113" w:rsidP="00FA109E">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La perte de clients importants est également préoccupante : non satisfaction, impossibilité de répondre aux besoins sans l’affrètement ? L’équilibre du portefeuille est beaucoup moins harmonieux et s’éloigne de façon significative des observations de la profession.</w:t>
      </w:r>
    </w:p>
    <w:p w14:paraId="5C32BD5E" w14:textId="77777777" w:rsidR="004D6113" w:rsidRPr="001A6227" w:rsidRDefault="004D6113" w:rsidP="00FA109E">
      <w:pPr>
        <w:spacing w:after="0" w:line="240" w:lineRule="auto"/>
        <w:jc w:val="both"/>
        <w:rPr>
          <w:rFonts w:ascii="Arial" w:eastAsia="Times New Roman" w:hAnsi="Arial" w:cs="Arial"/>
          <w:bCs/>
          <w:lang w:eastAsia="fr-FR"/>
        </w:rPr>
      </w:pPr>
    </w:p>
    <w:p w14:paraId="2197A5E1" w14:textId="33C40E91" w:rsidR="0014764D" w:rsidRPr="001A6227" w:rsidRDefault="0014764D" w:rsidP="0014764D">
      <w:pPr>
        <w:spacing w:after="0" w:line="240" w:lineRule="auto"/>
        <w:rPr>
          <w:rFonts w:ascii="Arial" w:eastAsia="Times New Roman" w:hAnsi="Arial" w:cs="Arial"/>
          <w:b/>
          <w:bCs/>
          <w:u w:val="single"/>
          <w:lang w:eastAsia="fr-FR"/>
        </w:rPr>
      </w:pPr>
      <w:r w:rsidRPr="001A6227">
        <w:rPr>
          <w:rFonts w:ascii="Arial" w:eastAsia="Times New Roman" w:hAnsi="Arial" w:cs="Arial"/>
          <w:b/>
          <w:bCs/>
          <w:u w:val="single"/>
          <w:lang w:eastAsia="fr-FR"/>
        </w:rPr>
        <w:t>ANALYSE DE LA PERFORMANCE</w:t>
      </w:r>
      <w:r w:rsidR="00EF688B" w:rsidRPr="001A6227">
        <w:rPr>
          <w:rFonts w:ascii="Arial" w:eastAsia="Times New Roman" w:hAnsi="Arial" w:cs="Arial"/>
          <w:b/>
          <w:bCs/>
          <w:u w:val="single"/>
          <w:lang w:eastAsia="fr-FR"/>
        </w:rPr>
        <w:t xml:space="preserve"> ORGANISATIONNELLE</w:t>
      </w:r>
      <w:r w:rsidR="009D6BA0" w:rsidRPr="001A6227">
        <w:rPr>
          <w:rFonts w:ascii="Arial" w:eastAsia="Times New Roman" w:hAnsi="Arial" w:cs="Arial"/>
          <w:b/>
          <w:bCs/>
          <w:lang w:eastAsia="fr-FR"/>
        </w:rPr>
        <w:tab/>
      </w:r>
    </w:p>
    <w:p w14:paraId="51C35D56" w14:textId="77777777" w:rsidR="0014764D" w:rsidRPr="001A6227" w:rsidRDefault="0014764D" w:rsidP="0014764D">
      <w:pPr>
        <w:spacing w:after="0" w:line="240" w:lineRule="auto"/>
        <w:jc w:val="both"/>
        <w:rPr>
          <w:rFonts w:ascii="Arial" w:eastAsia="Times New Roman" w:hAnsi="Arial" w:cs="Arial"/>
          <w:bCs/>
          <w:lang w:eastAsia="fr-FR"/>
        </w:rPr>
      </w:pPr>
    </w:p>
    <w:p w14:paraId="4EE099B6" w14:textId="77777777" w:rsidR="0014764D" w:rsidRPr="004C3B93" w:rsidRDefault="001D7E3F"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En </w:t>
      </w:r>
      <w:r w:rsidRPr="001A6227">
        <w:rPr>
          <w:rFonts w:ascii="Arial" w:eastAsia="Times New Roman" w:hAnsi="Arial" w:cs="Arial"/>
          <w:b/>
          <w:bCs/>
          <w:lang w:eastAsia="fr-FR"/>
        </w:rPr>
        <w:t>2018</w:t>
      </w:r>
      <w:r w:rsidRPr="001A6227">
        <w:rPr>
          <w:rFonts w:ascii="Arial" w:eastAsia="Times New Roman" w:hAnsi="Arial" w:cs="Arial"/>
          <w:bCs/>
          <w:lang w:eastAsia="fr-FR"/>
        </w:rPr>
        <w:t>, les résultats de l’activité sont conformes à ceux du CNR voire un peu supérieurs. L’entreprise gère donc correctement son activité et est attentive à la gestion des kilomètres ainsi qu’à l’optimisation des chargements.</w:t>
      </w:r>
      <w:r w:rsidR="00EF688B" w:rsidRPr="001A6227">
        <w:rPr>
          <w:rFonts w:ascii="Arial" w:eastAsia="Times New Roman" w:hAnsi="Arial" w:cs="Arial"/>
          <w:bCs/>
          <w:lang w:eastAsia="fr-FR"/>
        </w:rPr>
        <w:t xml:space="preserve"> Ses objectifs sont atteints.</w:t>
      </w:r>
    </w:p>
    <w:p w14:paraId="1975C36C" w14:textId="77777777" w:rsidR="001D7E3F" w:rsidRPr="004C3B93" w:rsidRDefault="001D7E3F"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En </w:t>
      </w:r>
      <w:r w:rsidRPr="001A6227">
        <w:rPr>
          <w:rFonts w:ascii="Arial" w:eastAsia="Times New Roman" w:hAnsi="Arial" w:cs="Arial"/>
          <w:b/>
          <w:bCs/>
          <w:lang w:eastAsia="fr-FR"/>
        </w:rPr>
        <w:t>2020</w:t>
      </w:r>
      <w:r w:rsidRPr="001A6227">
        <w:rPr>
          <w:rFonts w:ascii="Arial" w:eastAsia="Times New Roman" w:hAnsi="Arial" w:cs="Arial"/>
          <w:bCs/>
          <w:lang w:eastAsia="fr-FR"/>
        </w:rPr>
        <w:t xml:space="preserve"> la situation </w:t>
      </w:r>
      <w:r w:rsidR="00B4050D" w:rsidRPr="001A6227">
        <w:rPr>
          <w:rFonts w:ascii="Arial" w:eastAsia="Times New Roman" w:hAnsi="Arial" w:cs="Arial"/>
          <w:bCs/>
          <w:lang w:eastAsia="fr-FR"/>
        </w:rPr>
        <w:t>présente une nette dégradation. On peut faire le rapprochement avec l’augmentation des transports réalisés par l’entreprise. Elle n’affrète plus ses partenaires transporteurs mais cela l’amène à réaliser plus de transport à vide et avec un taux de chargement plus faible</w:t>
      </w:r>
      <w:r w:rsidR="00B4050D" w:rsidRPr="004C3B93">
        <w:rPr>
          <w:rFonts w:ascii="Arial" w:eastAsia="Times New Roman" w:hAnsi="Arial" w:cs="Arial"/>
          <w:bCs/>
          <w:lang w:eastAsia="fr-FR"/>
        </w:rPr>
        <w:t>.</w:t>
      </w:r>
      <w:r w:rsidR="009711C1">
        <w:rPr>
          <w:rFonts w:ascii="Arial" w:eastAsia="Times New Roman" w:hAnsi="Arial" w:cs="Arial"/>
          <w:bCs/>
          <w:lang w:eastAsia="fr-FR"/>
        </w:rPr>
        <w:t xml:space="preserve"> </w:t>
      </w:r>
    </w:p>
    <w:p w14:paraId="55D6B3B7" w14:textId="77777777" w:rsidR="00B4050D" w:rsidRPr="001A6227" w:rsidRDefault="00B4050D"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En conclusion le chiffre d’affaires s’envole, il dépend essentiellement de quelques gros clients et la rentabilité diminue sensiblement.</w:t>
      </w:r>
    </w:p>
    <w:p w14:paraId="28B95723" w14:textId="77777777" w:rsidR="00B4050D" w:rsidRPr="004C3B93" w:rsidRDefault="00EF688B"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Les objectifs ne sont plus atteints, d</w:t>
      </w:r>
      <w:r w:rsidR="00B4050D" w:rsidRPr="001A6227">
        <w:rPr>
          <w:rFonts w:ascii="Arial" w:eastAsia="Times New Roman" w:hAnsi="Arial" w:cs="Arial"/>
          <w:bCs/>
          <w:lang w:eastAsia="fr-FR"/>
        </w:rPr>
        <w:t>es actions correctrices doivent être envisagées.</w:t>
      </w:r>
    </w:p>
    <w:p w14:paraId="6950A384" w14:textId="77777777" w:rsidR="00B4050D" w:rsidRPr="001A6227" w:rsidRDefault="00B4050D" w:rsidP="0014764D">
      <w:pPr>
        <w:spacing w:after="0" w:line="240" w:lineRule="auto"/>
        <w:jc w:val="both"/>
        <w:rPr>
          <w:rFonts w:ascii="Arial" w:eastAsia="Times New Roman" w:hAnsi="Arial" w:cs="Arial"/>
          <w:bCs/>
          <w:lang w:eastAsia="fr-FR"/>
        </w:rPr>
      </w:pPr>
    </w:p>
    <w:p w14:paraId="559DFBEF" w14:textId="57A9E319" w:rsidR="00B948FF" w:rsidRDefault="00B948FF" w:rsidP="0014764D">
      <w:pPr>
        <w:spacing w:after="0" w:line="240" w:lineRule="auto"/>
        <w:jc w:val="both"/>
        <w:rPr>
          <w:rFonts w:ascii="Arial" w:eastAsia="Times New Roman" w:hAnsi="Arial" w:cs="Arial"/>
          <w:bCs/>
          <w:lang w:eastAsia="fr-FR"/>
        </w:rPr>
      </w:pPr>
    </w:p>
    <w:p w14:paraId="2B7A1937" w14:textId="77777777" w:rsidR="00730C0F" w:rsidRDefault="00730C0F" w:rsidP="0014764D">
      <w:pPr>
        <w:spacing w:after="0" w:line="240" w:lineRule="auto"/>
        <w:jc w:val="both"/>
        <w:rPr>
          <w:rFonts w:ascii="Arial" w:eastAsia="Times New Roman" w:hAnsi="Arial" w:cs="Arial"/>
          <w:bCs/>
          <w:lang w:eastAsia="fr-FR"/>
        </w:rPr>
      </w:pPr>
    </w:p>
    <w:p w14:paraId="6AABC121" w14:textId="77777777" w:rsidR="00EA7592" w:rsidRPr="001A6227" w:rsidRDefault="00EA7592" w:rsidP="0014764D">
      <w:pPr>
        <w:spacing w:after="0" w:line="240" w:lineRule="auto"/>
        <w:jc w:val="both"/>
        <w:rPr>
          <w:rFonts w:ascii="Arial" w:eastAsia="Times New Roman" w:hAnsi="Arial" w:cs="Arial"/>
          <w:bCs/>
          <w:lang w:eastAsia="fr-FR"/>
        </w:rPr>
      </w:pPr>
    </w:p>
    <w:p w14:paraId="28D6D8C4" w14:textId="77777777" w:rsidR="00EA0E80" w:rsidRPr="001A6227" w:rsidRDefault="00EA0E80" w:rsidP="00EA0E80">
      <w:pPr>
        <w:pStyle w:val="Paragraphedeliste"/>
        <w:numPr>
          <w:ilvl w:val="0"/>
          <w:numId w:val="2"/>
        </w:numPr>
        <w:spacing w:line="240" w:lineRule="auto"/>
        <w:rPr>
          <w:rFonts w:ascii="Arial" w:hAnsi="Arial" w:cs="Arial"/>
          <w:b/>
          <w:sz w:val="24"/>
          <w:szCs w:val="24"/>
        </w:rPr>
      </w:pPr>
      <w:r w:rsidRPr="001A6227">
        <w:rPr>
          <w:rFonts w:ascii="Arial" w:hAnsi="Arial" w:cs="Arial"/>
          <w:b/>
          <w:sz w:val="24"/>
          <w:szCs w:val="24"/>
        </w:rPr>
        <w:lastRenderedPageBreak/>
        <w:t>Identifiez les points de vigilance et proposez des pistes d’amélioration pour chacun d’eux.</w:t>
      </w:r>
      <w:r w:rsidR="009711C1">
        <w:rPr>
          <w:rFonts w:ascii="Arial" w:hAnsi="Arial" w:cs="Arial"/>
          <w:b/>
          <w:sz w:val="24"/>
          <w:szCs w:val="24"/>
        </w:rPr>
        <w:tab/>
      </w:r>
      <w:r w:rsidR="009711C1">
        <w:rPr>
          <w:rFonts w:ascii="Arial" w:hAnsi="Arial" w:cs="Arial"/>
          <w:b/>
          <w:sz w:val="24"/>
          <w:szCs w:val="24"/>
        </w:rPr>
        <w:tab/>
      </w:r>
      <w:r w:rsidR="009711C1" w:rsidRPr="009711C1">
        <w:rPr>
          <w:rFonts w:ascii="Arial" w:hAnsi="Arial" w:cs="Arial"/>
          <w:b/>
          <w:sz w:val="24"/>
          <w:szCs w:val="24"/>
          <w:highlight w:val="yellow"/>
        </w:rPr>
        <w:t>9</w:t>
      </w:r>
      <w:r w:rsidR="009D6BA0" w:rsidRPr="009711C1">
        <w:rPr>
          <w:rFonts w:ascii="Arial" w:hAnsi="Arial" w:cs="Arial"/>
          <w:b/>
          <w:sz w:val="24"/>
          <w:szCs w:val="24"/>
          <w:highlight w:val="yellow"/>
        </w:rPr>
        <w:t xml:space="preserve"> points</w:t>
      </w:r>
    </w:p>
    <w:p w14:paraId="5546A1FB" w14:textId="77777777" w:rsidR="00B4050D" w:rsidRPr="001A6227" w:rsidRDefault="00B4050D" w:rsidP="0014764D">
      <w:pPr>
        <w:spacing w:after="0" w:line="240" w:lineRule="auto"/>
        <w:jc w:val="both"/>
        <w:rPr>
          <w:rFonts w:ascii="Arial" w:eastAsia="Times New Roman" w:hAnsi="Arial" w:cs="Arial"/>
          <w:bCs/>
          <w:lang w:eastAsia="fr-FR"/>
        </w:rPr>
      </w:pPr>
    </w:p>
    <w:p w14:paraId="11C0FEAA" w14:textId="393BBC3B" w:rsidR="00EA0E80" w:rsidRPr="004C3B93" w:rsidRDefault="00EA0E80" w:rsidP="0014764D">
      <w:pPr>
        <w:spacing w:after="0" w:line="240" w:lineRule="auto"/>
        <w:jc w:val="both"/>
        <w:rPr>
          <w:rFonts w:ascii="Arial" w:eastAsia="Times New Roman" w:hAnsi="Arial" w:cs="Arial"/>
          <w:bCs/>
          <w:lang w:eastAsia="fr-FR"/>
        </w:rPr>
      </w:pPr>
      <w:r w:rsidRPr="001A6227">
        <w:rPr>
          <w:rFonts w:ascii="Arial" w:eastAsia="Times New Roman" w:hAnsi="Arial" w:cs="Arial"/>
          <w:b/>
          <w:bCs/>
          <w:lang w:eastAsia="fr-FR"/>
        </w:rPr>
        <w:t>Le CA de l’activité</w:t>
      </w:r>
      <w:r w:rsidRPr="001A6227">
        <w:rPr>
          <w:rFonts w:ascii="Arial" w:eastAsia="Times New Roman" w:hAnsi="Arial" w:cs="Arial"/>
          <w:bCs/>
          <w:lang w:eastAsia="fr-FR"/>
        </w:rPr>
        <w:t xml:space="preserve"> commissionnaire est en baisse en raison d’un manque attestataire. Ce problème va être résolu avec l’embauche du titulaire du BTS </w:t>
      </w:r>
      <w:proofErr w:type="spellStart"/>
      <w:r w:rsidRPr="001A6227">
        <w:rPr>
          <w:rFonts w:ascii="Arial" w:eastAsia="Times New Roman" w:hAnsi="Arial" w:cs="Arial"/>
          <w:bCs/>
          <w:lang w:eastAsia="fr-FR"/>
        </w:rPr>
        <w:t>GTLA</w:t>
      </w:r>
      <w:proofErr w:type="spellEnd"/>
      <w:r w:rsidRPr="001A6227">
        <w:rPr>
          <w:rFonts w:ascii="Arial" w:eastAsia="Times New Roman" w:hAnsi="Arial" w:cs="Arial"/>
          <w:bCs/>
          <w:lang w:eastAsia="fr-FR"/>
        </w:rPr>
        <w:t>. Cela va également permettre de mieux gérer les transports réalisés en propre, en affrétant ceux qui amenuiseraient la marge (trop de kilomètres ou pas assez de remplissage)</w:t>
      </w:r>
      <w:r w:rsidR="00AA74A2" w:rsidRPr="001A6227">
        <w:rPr>
          <w:rFonts w:ascii="Arial" w:eastAsia="Times New Roman" w:hAnsi="Arial" w:cs="Arial"/>
          <w:bCs/>
          <w:lang w:eastAsia="fr-FR"/>
        </w:rPr>
        <w:t xml:space="preserve"> tout en apportant satisfaction à nos clients</w:t>
      </w:r>
      <w:r w:rsidR="00AA74A2" w:rsidRPr="004C3B93">
        <w:rPr>
          <w:rFonts w:ascii="Arial" w:eastAsia="Times New Roman" w:hAnsi="Arial" w:cs="Arial"/>
          <w:bCs/>
          <w:lang w:eastAsia="fr-FR"/>
        </w:rPr>
        <w:t>.</w:t>
      </w:r>
    </w:p>
    <w:p w14:paraId="33F6897D" w14:textId="77777777" w:rsidR="00EA0E80" w:rsidRPr="004C3B93" w:rsidRDefault="00EA0E80" w:rsidP="0014764D">
      <w:pPr>
        <w:spacing w:after="0" w:line="240" w:lineRule="auto"/>
        <w:jc w:val="both"/>
        <w:rPr>
          <w:rFonts w:ascii="Arial" w:eastAsia="Times New Roman" w:hAnsi="Arial" w:cs="Arial"/>
          <w:bCs/>
          <w:lang w:eastAsia="fr-FR"/>
        </w:rPr>
      </w:pPr>
    </w:p>
    <w:p w14:paraId="14055010" w14:textId="724B46AE" w:rsidR="006C5A75" w:rsidRPr="004C3B93" w:rsidRDefault="006C5A75"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La </w:t>
      </w:r>
      <w:r w:rsidRPr="001A6227">
        <w:rPr>
          <w:rFonts w:ascii="Arial" w:eastAsia="Times New Roman" w:hAnsi="Arial" w:cs="Arial"/>
          <w:b/>
          <w:bCs/>
          <w:lang w:eastAsia="fr-FR"/>
        </w:rPr>
        <w:t xml:space="preserve">performance de </w:t>
      </w:r>
      <w:r w:rsidR="00550A5D" w:rsidRPr="001A6227">
        <w:rPr>
          <w:rFonts w:ascii="Arial" w:eastAsia="Times New Roman" w:hAnsi="Arial" w:cs="Arial"/>
          <w:b/>
          <w:bCs/>
          <w:lang w:eastAsia="fr-FR"/>
        </w:rPr>
        <w:t>l’activité</w:t>
      </w:r>
      <w:r w:rsidR="00550A5D" w:rsidRPr="001A6227">
        <w:rPr>
          <w:rFonts w:ascii="Arial" w:eastAsia="Times New Roman" w:hAnsi="Arial" w:cs="Arial"/>
          <w:bCs/>
          <w:lang w:eastAsia="fr-FR"/>
        </w:rPr>
        <w:t xml:space="preserve"> est en déclin, la piste d’amélioration est également dans le développement de la sous-traitance qui dégage une marge plus importante</w:t>
      </w:r>
      <w:r w:rsidR="00EA7592">
        <w:rPr>
          <w:rFonts w:ascii="Arial" w:eastAsia="Times New Roman" w:hAnsi="Arial" w:cs="Arial"/>
          <w:bCs/>
          <w:lang w:eastAsia="fr-FR"/>
        </w:rPr>
        <w:t xml:space="preserve"> </w:t>
      </w:r>
      <w:r w:rsidR="00550A5D" w:rsidRPr="001A6227">
        <w:rPr>
          <w:rFonts w:ascii="Arial" w:eastAsia="Times New Roman" w:hAnsi="Arial" w:cs="Arial"/>
          <w:bCs/>
          <w:lang w:eastAsia="fr-FR"/>
        </w:rPr>
        <w:t>et surtout de ne choisir que les transports intéressants pour l’entreprise</w:t>
      </w:r>
      <w:r w:rsidR="00B7231D" w:rsidRPr="001A6227">
        <w:rPr>
          <w:rFonts w:ascii="Arial" w:eastAsia="Times New Roman" w:hAnsi="Arial" w:cs="Arial"/>
          <w:bCs/>
          <w:lang w:eastAsia="fr-FR"/>
        </w:rPr>
        <w:t xml:space="preserve"> (transport en propre</w:t>
      </w:r>
      <w:r w:rsidR="00EA7592">
        <w:rPr>
          <w:rFonts w:ascii="Arial" w:eastAsia="Times New Roman" w:hAnsi="Arial" w:cs="Arial"/>
          <w:bCs/>
          <w:lang w:eastAsia="fr-FR"/>
        </w:rPr>
        <w:t>).</w:t>
      </w:r>
    </w:p>
    <w:p w14:paraId="2ADD2C83" w14:textId="139FAA59" w:rsidR="00550A5D" w:rsidRPr="004C3B93" w:rsidRDefault="00550A5D"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Une autre solution envisageable peut être la révision des prix et leur augmentation à condition que la satisfaction client soit totale et que la concurrence ne soit pas trop agressive.</w:t>
      </w:r>
    </w:p>
    <w:p w14:paraId="020167FF" w14:textId="77777777" w:rsidR="00550A5D" w:rsidRPr="001A6227" w:rsidRDefault="00550A5D" w:rsidP="0014764D">
      <w:pPr>
        <w:spacing w:after="0" w:line="240" w:lineRule="auto"/>
        <w:jc w:val="both"/>
        <w:rPr>
          <w:rFonts w:ascii="Arial" w:eastAsia="Times New Roman" w:hAnsi="Arial" w:cs="Arial"/>
          <w:bCs/>
          <w:lang w:eastAsia="fr-FR"/>
        </w:rPr>
      </w:pPr>
    </w:p>
    <w:p w14:paraId="0AFF6347" w14:textId="5715E4E8" w:rsidR="00B948FF" w:rsidRPr="004C3B93" w:rsidRDefault="00550A5D"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Le </w:t>
      </w:r>
      <w:r w:rsidRPr="001A6227">
        <w:rPr>
          <w:rFonts w:ascii="Arial" w:eastAsia="Times New Roman" w:hAnsi="Arial" w:cs="Arial"/>
          <w:b/>
          <w:bCs/>
          <w:lang w:eastAsia="fr-FR"/>
        </w:rPr>
        <w:t>portefeuille client</w:t>
      </w:r>
      <w:r w:rsidR="00B948FF" w:rsidRPr="001A6227">
        <w:rPr>
          <w:rFonts w:ascii="Arial" w:eastAsia="Times New Roman" w:hAnsi="Arial" w:cs="Arial"/>
          <w:b/>
          <w:bCs/>
          <w:lang w:eastAsia="fr-FR"/>
        </w:rPr>
        <w:t>s</w:t>
      </w:r>
      <w:r w:rsidRPr="001A6227">
        <w:rPr>
          <w:rFonts w:ascii="Arial" w:eastAsia="Times New Roman" w:hAnsi="Arial" w:cs="Arial"/>
          <w:bCs/>
          <w:lang w:eastAsia="fr-FR"/>
        </w:rPr>
        <w:t xml:space="preserve"> est peu équilibré, </w:t>
      </w:r>
      <w:r w:rsidR="00B948FF" w:rsidRPr="001A6227">
        <w:rPr>
          <w:rFonts w:ascii="Arial" w:eastAsia="Times New Roman" w:hAnsi="Arial" w:cs="Arial"/>
          <w:bCs/>
          <w:lang w:eastAsia="fr-FR"/>
        </w:rPr>
        <w:t>et a vu la perte de clients moyens et importants. I</w:t>
      </w:r>
      <w:r w:rsidRPr="001A6227">
        <w:rPr>
          <w:rFonts w:ascii="Arial" w:eastAsia="Times New Roman" w:hAnsi="Arial" w:cs="Arial"/>
          <w:bCs/>
          <w:lang w:eastAsia="fr-FR"/>
        </w:rPr>
        <w:t xml:space="preserve">l </w:t>
      </w:r>
      <w:r w:rsidR="00B948FF" w:rsidRPr="001A6227">
        <w:rPr>
          <w:rFonts w:ascii="Arial" w:eastAsia="Times New Roman" w:hAnsi="Arial" w:cs="Arial"/>
          <w:bCs/>
          <w:lang w:eastAsia="fr-FR"/>
        </w:rPr>
        <w:t>semble urgent de retrouver un portefeuille équilibré qui se rapprocherait davantage de la répartition observée par la profession</w:t>
      </w:r>
      <w:r w:rsidR="00B948FF" w:rsidRPr="004C3B93">
        <w:rPr>
          <w:rFonts w:ascii="Arial" w:eastAsia="Times New Roman" w:hAnsi="Arial" w:cs="Arial"/>
          <w:bCs/>
          <w:lang w:eastAsia="fr-FR"/>
        </w:rPr>
        <w:t>.</w:t>
      </w:r>
      <w:r w:rsidR="001C23E4" w:rsidRPr="004C3B93">
        <w:rPr>
          <w:rFonts w:ascii="Arial" w:eastAsia="Times New Roman" w:hAnsi="Arial" w:cs="Arial"/>
          <w:bCs/>
          <w:lang w:eastAsia="fr-FR"/>
        </w:rPr>
        <w:t xml:space="preserve"> </w:t>
      </w:r>
      <w:r w:rsidR="00B948FF" w:rsidRPr="001A6227">
        <w:rPr>
          <w:rFonts w:ascii="Arial" w:eastAsia="Times New Roman" w:hAnsi="Arial" w:cs="Arial"/>
          <w:bCs/>
          <w:lang w:eastAsia="fr-FR"/>
        </w:rPr>
        <w:t xml:space="preserve">Les petits clients sont trop nombreux, il faudrait les amener à nous confier davantage de fret (dans la mesure du possible) ou sous-traiter si les volumes ne </w:t>
      </w:r>
      <w:r w:rsidR="001C23E4" w:rsidRPr="001A6227">
        <w:rPr>
          <w:rFonts w:ascii="Arial" w:eastAsia="Times New Roman" w:hAnsi="Arial" w:cs="Arial"/>
          <w:bCs/>
          <w:lang w:eastAsia="fr-FR"/>
        </w:rPr>
        <w:t>s</w:t>
      </w:r>
      <w:r w:rsidR="00B948FF" w:rsidRPr="001A6227">
        <w:rPr>
          <w:rFonts w:ascii="Arial" w:eastAsia="Times New Roman" w:hAnsi="Arial" w:cs="Arial"/>
          <w:bCs/>
          <w:lang w:eastAsia="fr-FR"/>
        </w:rPr>
        <w:t>ont pas suffisant</w:t>
      </w:r>
      <w:r w:rsidR="001C23E4" w:rsidRPr="001A6227">
        <w:rPr>
          <w:rFonts w:ascii="Arial" w:eastAsia="Times New Roman" w:hAnsi="Arial" w:cs="Arial"/>
          <w:bCs/>
          <w:lang w:eastAsia="fr-FR"/>
        </w:rPr>
        <w:t>s</w:t>
      </w:r>
      <w:r w:rsidR="00EA7592">
        <w:rPr>
          <w:rFonts w:ascii="Arial" w:eastAsia="Times New Roman" w:hAnsi="Arial" w:cs="Arial"/>
          <w:bCs/>
          <w:lang w:eastAsia="fr-FR"/>
        </w:rPr>
        <w:t>.</w:t>
      </w:r>
    </w:p>
    <w:p w14:paraId="029052C5" w14:textId="5B6CEFEB" w:rsidR="002D5699" w:rsidRPr="004C3B93" w:rsidRDefault="002D5699" w:rsidP="0014764D">
      <w:pPr>
        <w:spacing w:after="0" w:line="240" w:lineRule="auto"/>
        <w:jc w:val="both"/>
        <w:rPr>
          <w:rFonts w:ascii="Arial" w:eastAsia="Times New Roman" w:hAnsi="Arial" w:cs="Arial"/>
          <w:bCs/>
          <w:lang w:eastAsia="fr-FR"/>
        </w:rPr>
      </w:pPr>
      <w:r w:rsidRPr="001A6227">
        <w:rPr>
          <w:rFonts w:ascii="Arial" w:eastAsia="Times New Roman" w:hAnsi="Arial" w:cs="Arial"/>
          <w:bCs/>
          <w:lang w:eastAsia="fr-FR"/>
        </w:rPr>
        <w:t>Il se</w:t>
      </w:r>
      <w:r w:rsidR="00550A5D" w:rsidRPr="001A6227">
        <w:rPr>
          <w:rFonts w:ascii="Arial" w:eastAsia="Times New Roman" w:hAnsi="Arial" w:cs="Arial"/>
          <w:bCs/>
          <w:lang w:eastAsia="fr-FR"/>
        </w:rPr>
        <w:t xml:space="preserve">rait </w:t>
      </w:r>
      <w:r w:rsidRPr="001A6227">
        <w:rPr>
          <w:rFonts w:ascii="Arial" w:eastAsia="Times New Roman" w:hAnsi="Arial" w:cs="Arial"/>
          <w:bCs/>
          <w:lang w:eastAsia="fr-FR"/>
        </w:rPr>
        <w:t>également opportun de prospecter et de trouver de nouveaux clients de taille moyenne et de suivre tout particulièrement les besoins de nos clients importants pour éviter de continuer à en perdre</w:t>
      </w:r>
      <w:r w:rsidR="00EA7592">
        <w:rPr>
          <w:rFonts w:ascii="Arial" w:eastAsia="Times New Roman" w:hAnsi="Arial" w:cs="Arial"/>
          <w:bCs/>
          <w:lang w:eastAsia="fr-FR"/>
        </w:rPr>
        <w:t>.</w:t>
      </w:r>
    </w:p>
    <w:p w14:paraId="75C40DF8" w14:textId="77777777" w:rsidR="00D74A88" w:rsidRPr="001A6227" w:rsidRDefault="00D74A88" w:rsidP="0014764D">
      <w:pPr>
        <w:spacing w:after="0" w:line="240" w:lineRule="auto"/>
        <w:jc w:val="both"/>
        <w:rPr>
          <w:rFonts w:ascii="Arial" w:eastAsia="Times New Roman" w:hAnsi="Arial" w:cs="Arial"/>
          <w:bCs/>
          <w:lang w:eastAsia="fr-FR"/>
        </w:rPr>
      </w:pPr>
    </w:p>
    <w:p w14:paraId="7D58DFCD" w14:textId="77777777" w:rsidR="00B948FF" w:rsidRPr="001A6227" w:rsidRDefault="00B948FF">
      <w:pPr>
        <w:rPr>
          <w:rFonts w:ascii="Arial" w:eastAsia="Times New Roman" w:hAnsi="Arial" w:cs="Arial"/>
          <w:bCs/>
          <w:lang w:eastAsia="fr-FR"/>
        </w:rPr>
      </w:pPr>
      <w:r w:rsidRPr="001A6227">
        <w:rPr>
          <w:rFonts w:ascii="Arial" w:eastAsia="Times New Roman" w:hAnsi="Arial" w:cs="Arial"/>
          <w:bCs/>
          <w:lang w:eastAsia="fr-FR"/>
        </w:rPr>
        <w:br w:type="page"/>
      </w:r>
    </w:p>
    <w:p w14:paraId="558EBD53" w14:textId="77777777" w:rsidR="00D74A88" w:rsidRPr="001A6227" w:rsidRDefault="00D74A88" w:rsidP="0014764D">
      <w:pPr>
        <w:spacing w:after="0" w:line="240" w:lineRule="auto"/>
        <w:jc w:val="both"/>
        <w:rPr>
          <w:rFonts w:ascii="Arial" w:eastAsia="Times New Roman" w:hAnsi="Arial" w:cs="Arial"/>
          <w:bCs/>
          <w:lang w:eastAsia="fr-FR"/>
        </w:rPr>
      </w:pPr>
      <w:r w:rsidRPr="001A6227">
        <w:rPr>
          <w:rFonts w:ascii="Arial" w:eastAsia="Times New Roman" w:hAnsi="Arial" w:cs="Arial"/>
          <w:b/>
        </w:rPr>
        <w:lastRenderedPageBreak/>
        <w:t xml:space="preserve">DOSSIER 3 – DOSSIER </w:t>
      </w:r>
      <w:r w:rsidR="003868F9" w:rsidRPr="001A6227">
        <w:rPr>
          <w:rFonts w:ascii="Arial" w:eastAsia="Times New Roman" w:hAnsi="Arial" w:cs="Arial"/>
          <w:b/>
        </w:rPr>
        <w:t>TRANSNANTES</w:t>
      </w:r>
      <w:r w:rsidR="009D6BA0" w:rsidRPr="001A6227">
        <w:rPr>
          <w:rFonts w:ascii="Arial" w:eastAsia="Times New Roman" w:hAnsi="Arial" w:cs="Arial"/>
          <w:b/>
        </w:rPr>
        <w:tab/>
      </w:r>
      <w:r w:rsidR="009D6BA0" w:rsidRPr="001A6227">
        <w:rPr>
          <w:rFonts w:ascii="Arial" w:eastAsia="Times New Roman" w:hAnsi="Arial" w:cs="Arial"/>
          <w:b/>
        </w:rPr>
        <w:tab/>
        <w:t>30 points</w:t>
      </w:r>
    </w:p>
    <w:p w14:paraId="6001EABF" w14:textId="77777777" w:rsidR="00D74A88" w:rsidRPr="001A6227" w:rsidRDefault="00D74A88" w:rsidP="0014764D">
      <w:pPr>
        <w:spacing w:after="0" w:line="240" w:lineRule="auto"/>
        <w:jc w:val="both"/>
        <w:rPr>
          <w:rFonts w:ascii="Arial" w:eastAsia="Times New Roman" w:hAnsi="Arial" w:cs="Arial"/>
          <w:bCs/>
          <w:lang w:eastAsia="fr-FR"/>
        </w:rPr>
      </w:pPr>
    </w:p>
    <w:p w14:paraId="44979A2C" w14:textId="77777777" w:rsidR="00D74A88" w:rsidRPr="001A6227" w:rsidRDefault="00D74A88" w:rsidP="00D74A88">
      <w:pPr>
        <w:pStyle w:val="Paragraphedeliste"/>
        <w:numPr>
          <w:ilvl w:val="0"/>
          <w:numId w:val="7"/>
        </w:numPr>
        <w:spacing w:line="240" w:lineRule="auto"/>
        <w:rPr>
          <w:rFonts w:ascii="Arial" w:eastAsia="Times New Roman" w:hAnsi="Arial" w:cs="Arial"/>
          <w:b/>
          <w:bCs/>
          <w:sz w:val="24"/>
          <w:szCs w:val="24"/>
          <w:lang w:eastAsia="fr-FR"/>
        </w:rPr>
      </w:pPr>
      <w:r w:rsidRPr="001A6227">
        <w:rPr>
          <w:rFonts w:ascii="Arial" w:eastAsia="Times New Roman" w:hAnsi="Arial" w:cs="Arial"/>
          <w:b/>
          <w:bCs/>
          <w:sz w:val="24"/>
          <w:szCs w:val="24"/>
          <w:lang w:eastAsia="fr-FR"/>
        </w:rPr>
        <w:t>Vérifiez que la capacité fi</w:t>
      </w:r>
      <w:r w:rsidR="003868F9" w:rsidRPr="001A6227">
        <w:rPr>
          <w:rFonts w:ascii="Arial" w:eastAsia="Times New Roman" w:hAnsi="Arial" w:cs="Arial"/>
          <w:b/>
          <w:bCs/>
          <w:sz w:val="24"/>
          <w:szCs w:val="24"/>
          <w:lang w:eastAsia="fr-FR"/>
        </w:rPr>
        <w:t>nancière de l’entreprise de M. Martin</w:t>
      </w:r>
      <w:r w:rsidRPr="001A6227">
        <w:rPr>
          <w:rFonts w:ascii="Arial" w:eastAsia="Times New Roman" w:hAnsi="Arial" w:cs="Arial"/>
          <w:b/>
          <w:bCs/>
          <w:sz w:val="24"/>
          <w:szCs w:val="24"/>
          <w:lang w:eastAsia="fr-FR"/>
        </w:rPr>
        <w:t xml:space="preserve"> permet l’intégration de 2 nouveaux camions en fin d’année 2020.</w:t>
      </w:r>
      <w:r w:rsidR="009D6BA0" w:rsidRPr="001A6227">
        <w:rPr>
          <w:rFonts w:ascii="Arial" w:eastAsia="Times New Roman" w:hAnsi="Arial" w:cs="Arial"/>
          <w:b/>
          <w:bCs/>
          <w:sz w:val="24"/>
          <w:szCs w:val="24"/>
          <w:lang w:eastAsia="fr-FR"/>
        </w:rPr>
        <w:tab/>
      </w:r>
      <w:r w:rsidR="009D6BA0" w:rsidRPr="001A6227">
        <w:rPr>
          <w:rFonts w:ascii="Arial" w:eastAsia="Times New Roman" w:hAnsi="Arial" w:cs="Arial"/>
          <w:b/>
          <w:bCs/>
          <w:sz w:val="24"/>
          <w:szCs w:val="24"/>
          <w:lang w:eastAsia="fr-FR"/>
        </w:rPr>
        <w:tab/>
      </w:r>
      <w:r w:rsidR="009D6BA0" w:rsidRPr="004D5665">
        <w:rPr>
          <w:rFonts w:ascii="Arial" w:eastAsia="Times New Roman" w:hAnsi="Arial" w:cs="Arial"/>
          <w:b/>
          <w:bCs/>
          <w:sz w:val="24"/>
          <w:szCs w:val="24"/>
          <w:highlight w:val="yellow"/>
          <w:lang w:eastAsia="fr-FR"/>
        </w:rPr>
        <w:t>5 points</w:t>
      </w:r>
    </w:p>
    <w:p w14:paraId="07025C56" w14:textId="77777777" w:rsidR="00D74A88" w:rsidRPr="001A6227" w:rsidRDefault="00D74A88" w:rsidP="00D74A88">
      <w:pPr>
        <w:spacing w:line="240" w:lineRule="auto"/>
        <w:rPr>
          <w:rFonts w:ascii="Arial" w:eastAsia="Times New Roman" w:hAnsi="Arial" w:cs="Arial"/>
          <w:bCs/>
          <w:lang w:eastAsia="fr-FR"/>
        </w:rPr>
      </w:pPr>
    </w:p>
    <w:p w14:paraId="009CF443" w14:textId="77777777" w:rsidR="00D74A88" w:rsidRPr="001A6227" w:rsidRDefault="00D74A88" w:rsidP="00D74A88">
      <w:pPr>
        <w:spacing w:line="240" w:lineRule="auto"/>
        <w:rPr>
          <w:rFonts w:ascii="Arial" w:eastAsia="Times New Roman" w:hAnsi="Arial" w:cs="Arial"/>
          <w:b/>
          <w:bCs/>
          <w:lang w:eastAsia="fr-FR"/>
        </w:rPr>
      </w:pPr>
      <w:r w:rsidRPr="001A6227">
        <w:rPr>
          <w:rFonts w:ascii="Arial" w:eastAsia="Times New Roman" w:hAnsi="Arial" w:cs="Arial"/>
          <w:b/>
          <w:bCs/>
          <w:lang w:eastAsia="fr-FR"/>
        </w:rPr>
        <w:t>Situation en 202</w:t>
      </w:r>
      <w:r w:rsidR="00103620" w:rsidRPr="001A6227">
        <w:rPr>
          <w:rFonts w:ascii="Arial" w:eastAsia="Times New Roman" w:hAnsi="Arial" w:cs="Arial"/>
          <w:b/>
          <w:bCs/>
          <w:lang w:eastAsia="fr-FR"/>
        </w:rPr>
        <w:t>0</w:t>
      </w:r>
    </w:p>
    <w:p w14:paraId="2053577A" w14:textId="77777777" w:rsidR="00D74A88" w:rsidRPr="001A6227" w:rsidRDefault="00D74A88" w:rsidP="00D74A88">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12 conducteurs avec chacun un ensemble articulé attitré (véhicule de plus de 3,5 tonnes de PTAC) </w:t>
      </w:r>
    </w:p>
    <w:p w14:paraId="384FB272" w14:textId="77777777" w:rsidR="00D74A88" w:rsidRPr="001A6227" w:rsidRDefault="00D74A88" w:rsidP="00D74A88">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Capacité financière exigible </w:t>
      </w:r>
      <w:r w:rsidRPr="001A6227">
        <w:rPr>
          <w:rFonts w:ascii="Arial" w:eastAsia="Times New Roman" w:hAnsi="Arial" w:cs="Arial"/>
          <w:bCs/>
          <w:lang w:eastAsia="fr-FR"/>
        </w:rPr>
        <w:tab/>
        <w:t xml:space="preserve">= </w:t>
      </w:r>
      <w:r w:rsidRPr="001A6227">
        <w:rPr>
          <w:rFonts w:ascii="Arial" w:eastAsia="Times New Roman" w:hAnsi="Arial" w:cs="Arial"/>
          <w:bCs/>
          <w:lang w:eastAsia="fr-FR"/>
        </w:rPr>
        <w:tab/>
        <w:t>1 x 9</w:t>
      </w:r>
      <w:r w:rsidR="003868F9" w:rsidRPr="001A6227">
        <w:rPr>
          <w:rFonts w:ascii="Arial" w:eastAsia="Times New Roman" w:hAnsi="Arial" w:cs="Arial"/>
          <w:bCs/>
          <w:lang w:eastAsia="fr-FR"/>
        </w:rPr>
        <w:t> </w:t>
      </w:r>
      <w:r w:rsidRPr="001A6227">
        <w:rPr>
          <w:rFonts w:ascii="Arial" w:eastAsia="Times New Roman" w:hAnsi="Arial" w:cs="Arial"/>
          <w:bCs/>
          <w:lang w:eastAsia="fr-FR"/>
        </w:rPr>
        <w:t>000</w:t>
      </w:r>
      <w:r w:rsidRPr="001A6227">
        <w:rPr>
          <w:rFonts w:ascii="Arial" w:eastAsia="Times New Roman" w:hAnsi="Arial" w:cs="Arial"/>
          <w:bCs/>
          <w:lang w:eastAsia="fr-FR"/>
        </w:rPr>
        <w:tab/>
      </w:r>
      <w:r w:rsidR="003868F9" w:rsidRPr="001A6227">
        <w:rPr>
          <w:rFonts w:ascii="Arial" w:eastAsia="Times New Roman" w:hAnsi="Arial" w:cs="Arial"/>
          <w:bCs/>
          <w:lang w:eastAsia="fr-FR"/>
        </w:rPr>
        <w:tab/>
      </w:r>
      <w:r w:rsidRPr="001A6227">
        <w:rPr>
          <w:rFonts w:ascii="Arial" w:eastAsia="Times New Roman" w:hAnsi="Arial" w:cs="Arial"/>
          <w:bCs/>
          <w:lang w:eastAsia="fr-FR"/>
        </w:rPr>
        <w:t>= 9 000</w:t>
      </w:r>
    </w:p>
    <w:p w14:paraId="647D9D8F" w14:textId="77777777" w:rsidR="00D74A88" w:rsidRPr="001A6227" w:rsidRDefault="00D74A88" w:rsidP="00D74A88">
      <w:pPr>
        <w:spacing w:line="240" w:lineRule="auto"/>
        <w:rPr>
          <w:rFonts w:ascii="Arial" w:eastAsia="Times New Roman" w:hAnsi="Arial" w:cs="Arial"/>
          <w:bCs/>
          <w:lang w:eastAsia="fr-FR"/>
        </w:rPr>
      </w:pPr>
      <w:r w:rsidRPr="001A6227">
        <w:rPr>
          <w:rFonts w:ascii="Arial" w:eastAsia="Times New Roman" w:hAnsi="Arial" w:cs="Arial"/>
          <w:bCs/>
          <w:lang w:eastAsia="fr-FR"/>
        </w:rPr>
        <w:tab/>
      </w:r>
      <w:r w:rsidRPr="001A6227">
        <w:rPr>
          <w:rFonts w:ascii="Arial" w:eastAsia="Times New Roman" w:hAnsi="Arial" w:cs="Arial"/>
          <w:bCs/>
          <w:lang w:eastAsia="fr-FR"/>
        </w:rPr>
        <w:tab/>
      </w:r>
      <w:r w:rsidRPr="001A6227">
        <w:rPr>
          <w:rFonts w:ascii="Arial" w:eastAsia="Times New Roman" w:hAnsi="Arial" w:cs="Arial"/>
          <w:bCs/>
          <w:lang w:eastAsia="fr-FR"/>
        </w:rPr>
        <w:tab/>
      </w:r>
      <w:r w:rsidRPr="001A6227">
        <w:rPr>
          <w:rFonts w:ascii="Arial" w:eastAsia="Times New Roman" w:hAnsi="Arial" w:cs="Arial"/>
          <w:bCs/>
          <w:lang w:eastAsia="fr-FR"/>
        </w:rPr>
        <w:tab/>
      </w:r>
      <w:r w:rsidRPr="001A6227">
        <w:rPr>
          <w:rFonts w:ascii="Arial" w:eastAsia="Times New Roman" w:hAnsi="Arial" w:cs="Arial"/>
          <w:bCs/>
          <w:lang w:eastAsia="fr-FR"/>
        </w:rPr>
        <w:tab/>
        <w:t xml:space="preserve">+ </w:t>
      </w:r>
      <w:r w:rsidRPr="001A6227">
        <w:rPr>
          <w:rFonts w:ascii="Arial" w:eastAsia="Times New Roman" w:hAnsi="Arial" w:cs="Arial"/>
          <w:bCs/>
          <w:lang w:eastAsia="fr-FR"/>
        </w:rPr>
        <w:tab/>
        <w:t xml:space="preserve">11 x 5 000 </w:t>
      </w:r>
      <w:r w:rsidRPr="001A6227">
        <w:rPr>
          <w:rFonts w:ascii="Arial" w:eastAsia="Times New Roman" w:hAnsi="Arial" w:cs="Arial"/>
          <w:bCs/>
          <w:lang w:eastAsia="fr-FR"/>
        </w:rPr>
        <w:tab/>
        <w:t>= 55 000</w:t>
      </w:r>
    </w:p>
    <w:p w14:paraId="42126CE3" w14:textId="765127FE" w:rsidR="00D74A88" w:rsidRPr="004C3B93" w:rsidRDefault="00D74A88" w:rsidP="00D74A88">
      <w:pPr>
        <w:spacing w:line="240" w:lineRule="auto"/>
        <w:rPr>
          <w:rFonts w:ascii="Arial" w:eastAsia="Times New Roman" w:hAnsi="Arial" w:cs="Arial"/>
          <w:bCs/>
          <w:lang w:eastAsia="fr-FR"/>
        </w:rPr>
      </w:pPr>
      <w:r w:rsidRPr="001A6227">
        <w:rPr>
          <w:rFonts w:ascii="Arial" w:eastAsia="Times New Roman" w:hAnsi="Arial" w:cs="Arial"/>
          <w:bCs/>
          <w:lang w:eastAsia="fr-FR"/>
        </w:rPr>
        <w:tab/>
      </w:r>
      <w:r w:rsidRPr="001A6227">
        <w:rPr>
          <w:rFonts w:ascii="Arial" w:eastAsia="Times New Roman" w:hAnsi="Arial" w:cs="Arial"/>
          <w:bCs/>
          <w:lang w:eastAsia="fr-FR"/>
        </w:rPr>
        <w:tab/>
      </w:r>
      <w:r w:rsidRPr="001A6227">
        <w:rPr>
          <w:rFonts w:ascii="Arial" w:eastAsia="Times New Roman" w:hAnsi="Arial" w:cs="Arial"/>
          <w:bCs/>
          <w:lang w:eastAsia="fr-FR"/>
        </w:rPr>
        <w:tab/>
      </w:r>
      <w:r w:rsidRPr="001A6227">
        <w:rPr>
          <w:rFonts w:ascii="Arial" w:eastAsia="Times New Roman" w:hAnsi="Arial" w:cs="Arial"/>
          <w:bCs/>
          <w:lang w:eastAsia="fr-FR"/>
        </w:rPr>
        <w:tab/>
        <w:t>Total capacité financière</w:t>
      </w:r>
      <w:r w:rsidRPr="001A6227">
        <w:rPr>
          <w:rFonts w:ascii="Arial" w:eastAsia="Times New Roman" w:hAnsi="Arial" w:cs="Arial"/>
          <w:bCs/>
          <w:lang w:eastAsia="fr-FR"/>
        </w:rPr>
        <w:tab/>
        <w:t xml:space="preserve">= </w:t>
      </w:r>
      <w:r w:rsidRPr="001A6227">
        <w:rPr>
          <w:rFonts w:ascii="Arial" w:eastAsia="Times New Roman" w:hAnsi="Arial" w:cs="Arial"/>
          <w:b/>
          <w:bCs/>
          <w:lang w:eastAsia="fr-FR"/>
        </w:rPr>
        <w:t>64 000 €</w:t>
      </w:r>
    </w:p>
    <w:p w14:paraId="57E8168E" w14:textId="77777777" w:rsidR="00D74A88" w:rsidRPr="001A6227" w:rsidRDefault="00D74A88" w:rsidP="00103620">
      <w:pPr>
        <w:spacing w:line="240" w:lineRule="auto"/>
        <w:jc w:val="both"/>
        <w:rPr>
          <w:rFonts w:ascii="Arial" w:eastAsia="Times New Roman" w:hAnsi="Arial" w:cs="Arial"/>
          <w:bCs/>
          <w:lang w:eastAsia="fr-FR"/>
        </w:rPr>
      </w:pPr>
    </w:p>
    <w:p w14:paraId="7DB63A78" w14:textId="7DB1CEFC" w:rsidR="00D74A88" w:rsidRPr="004C3B93" w:rsidRDefault="00103620" w:rsidP="003868F9">
      <w:pPr>
        <w:spacing w:line="240" w:lineRule="auto"/>
        <w:jc w:val="both"/>
        <w:rPr>
          <w:rFonts w:ascii="Arial" w:hAnsi="Arial" w:cs="Arial"/>
        </w:rPr>
      </w:pPr>
      <w:r w:rsidRPr="001A6227">
        <w:rPr>
          <w:rFonts w:ascii="Arial" w:eastAsia="Times New Roman" w:hAnsi="Arial" w:cs="Arial"/>
          <w:bCs/>
          <w:lang w:eastAsia="fr-FR"/>
        </w:rPr>
        <w:t xml:space="preserve">Les capitaux propres (sous total 1 du bilan comptable) s’élèvent en 2020 à </w:t>
      </w:r>
      <w:r w:rsidRPr="001A6227">
        <w:rPr>
          <w:rFonts w:ascii="Arial" w:hAnsi="Arial" w:cs="Arial"/>
          <w:b/>
        </w:rPr>
        <w:t xml:space="preserve">927 030 €. </w:t>
      </w:r>
      <w:r w:rsidRPr="001A6227">
        <w:rPr>
          <w:rFonts w:ascii="Arial" w:hAnsi="Arial" w:cs="Arial"/>
        </w:rPr>
        <w:t>La condition de capacité financière est bien respectée</w:t>
      </w:r>
      <w:r w:rsidR="00EA7592">
        <w:rPr>
          <w:rFonts w:ascii="Arial" w:hAnsi="Arial" w:cs="Arial"/>
        </w:rPr>
        <w:t>.</w:t>
      </w:r>
    </w:p>
    <w:p w14:paraId="52EE1B95" w14:textId="33068425" w:rsidR="00103620" w:rsidRPr="004C3B93" w:rsidRDefault="00103620" w:rsidP="003868F9">
      <w:pPr>
        <w:spacing w:line="240" w:lineRule="auto"/>
        <w:jc w:val="both"/>
        <w:rPr>
          <w:rFonts w:ascii="Arial" w:hAnsi="Arial" w:cs="Arial"/>
        </w:rPr>
      </w:pPr>
      <w:r w:rsidRPr="001A6227">
        <w:rPr>
          <w:rFonts w:ascii="Arial" w:hAnsi="Arial" w:cs="Arial"/>
        </w:rPr>
        <w:t xml:space="preserve">Avec l’acquisition des 2 nouveaux véhicules </w:t>
      </w:r>
      <w:r w:rsidRPr="001A6227">
        <w:rPr>
          <w:rFonts w:ascii="Arial" w:hAnsi="Arial" w:cs="Arial"/>
          <w:b/>
        </w:rPr>
        <w:t>en 2021</w:t>
      </w:r>
      <w:r w:rsidRPr="001A6227">
        <w:rPr>
          <w:rFonts w:ascii="Arial" w:hAnsi="Arial" w:cs="Arial"/>
        </w:rPr>
        <w:t xml:space="preserve"> la capacité financière sera de 64 000 € + 2 x 5 000 € = </w:t>
      </w:r>
      <w:r w:rsidRPr="001A6227">
        <w:rPr>
          <w:rFonts w:ascii="Arial" w:hAnsi="Arial" w:cs="Arial"/>
          <w:b/>
        </w:rPr>
        <w:t xml:space="preserve">74 000 </w:t>
      </w:r>
      <w:proofErr w:type="gramStart"/>
      <w:r w:rsidRPr="001A6227">
        <w:rPr>
          <w:rFonts w:ascii="Arial" w:hAnsi="Arial" w:cs="Arial"/>
          <w:b/>
        </w:rPr>
        <w:t>€</w:t>
      </w:r>
      <w:r w:rsidR="004D5665">
        <w:rPr>
          <w:rFonts w:ascii="Arial" w:hAnsi="Arial" w:cs="Arial"/>
          <w:b/>
        </w:rPr>
        <w:t xml:space="preserve"> </w:t>
      </w:r>
      <w:r w:rsidRPr="001A6227">
        <w:rPr>
          <w:rFonts w:ascii="Arial" w:hAnsi="Arial" w:cs="Arial"/>
        </w:rPr>
        <w:t xml:space="preserve"> montant</w:t>
      </w:r>
      <w:proofErr w:type="gramEnd"/>
      <w:r w:rsidRPr="001A6227">
        <w:rPr>
          <w:rFonts w:ascii="Arial" w:hAnsi="Arial" w:cs="Arial"/>
        </w:rPr>
        <w:t xml:space="preserve"> qui est toujours très inférieur aux capitaux propres détenus</w:t>
      </w:r>
      <w:r w:rsidRPr="004C3B93">
        <w:rPr>
          <w:rFonts w:ascii="Arial" w:hAnsi="Arial" w:cs="Arial"/>
        </w:rPr>
        <w:t>.</w:t>
      </w:r>
      <w:r w:rsidR="00ED719A" w:rsidRPr="004C3B93">
        <w:rPr>
          <w:rFonts w:ascii="Arial" w:hAnsi="Arial" w:cs="Arial"/>
        </w:rPr>
        <w:t xml:space="preserve"> </w:t>
      </w:r>
    </w:p>
    <w:p w14:paraId="13A50510" w14:textId="027904E5" w:rsidR="00103620" w:rsidRPr="004C3B93" w:rsidRDefault="00103620" w:rsidP="003868F9">
      <w:pPr>
        <w:spacing w:line="240" w:lineRule="auto"/>
        <w:jc w:val="both"/>
        <w:rPr>
          <w:rFonts w:ascii="Arial" w:hAnsi="Arial" w:cs="Arial"/>
        </w:rPr>
      </w:pPr>
      <w:r w:rsidRPr="001A6227">
        <w:rPr>
          <w:rFonts w:ascii="Arial" w:hAnsi="Arial" w:cs="Arial"/>
        </w:rPr>
        <w:t xml:space="preserve">M. </w:t>
      </w:r>
      <w:r w:rsidR="003868F9" w:rsidRPr="001A6227">
        <w:rPr>
          <w:rFonts w:ascii="Arial" w:hAnsi="Arial" w:cs="Arial"/>
        </w:rPr>
        <w:t>Martin</w:t>
      </w:r>
      <w:r w:rsidRPr="001A6227">
        <w:rPr>
          <w:rFonts w:ascii="Arial" w:hAnsi="Arial" w:cs="Arial"/>
        </w:rPr>
        <w:t xml:space="preserve"> peut donc envisager cette acquisition</w:t>
      </w:r>
    </w:p>
    <w:p w14:paraId="3CBFF9CD" w14:textId="77777777" w:rsidR="007E76DC" w:rsidRPr="001A6227" w:rsidRDefault="007E76DC" w:rsidP="007E76DC">
      <w:pPr>
        <w:spacing w:line="240" w:lineRule="auto"/>
        <w:rPr>
          <w:rFonts w:ascii="Arial" w:eastAsia="Times New Roman" w:hAnsi="Arial" w:cs="Arial"/>
          <w:bCs/>
          <w:lang w:eastAsia="fr-FR"/>
        </w:rPr>
      </w:pPr>
    </w:p>
    <w:p w14:paraId="2BDEEFC9" w14:textId="77777777" w:rsidR="00D74A88" w:rsidRPr="001A6227" w:rsidRDefault="00D74A88" w:rsidP="00103620">
      <w:pPr>
        <w:pStyle w:val="Paragraphedeliste"/>
        <w:numPr>
          <w:ilvl w:val="0"/>
          <w:numId w:val="7"/>
        </w:numPr>
        <w:spacing w:line="240" w:lineRule="auto"/>
        <w:rPr>
          <w:rFonts w:ascii="Arial" w:eastAsia="Times New Roman" w:hAnsi="Arial" w:cs="Arial"/>
          <w:b/>
          <w:bCs/>
          <w:sz w:val="24"/>
          <w:szCs w:val="24"/>
          <w:lang w:eastAsia="fr-FR"/>
        </w:rPr>
      </w:pPr>
      <w:r w:rsidRPr="001A6227">
        <w:rPr>
          <w:rFonts w:ascii="Arial" w:eastAsia="Times New Roman" w:hAnsi="Arial" w:cs="Arial"/>
          <w:b/>
          <w:bCs/>
          <w:sz w:val="24"/>
          <w:szCs w:val="24"/>
          <w:lang w:eastAsia="fr-FR"/>
        </w:rPr>
        <w:t>Calculez les indicateurs FRNG, BFR et trésorerie nette, en 2019 et 2020 ainsi que leur évolution. Présentez vos résultats sous forme de tableau.</w:t>
      </w:r>
      <w:r w:rsidR="004F51AC" w:rsidRPr="001A6227">
        <w:rPr>
          <w:rFonts w:ascii="Arial" w:eastAsia="Times New Roman" w:hAnsi="Arial" w:cs="Arial"/>
          <w:b/>
          <w:bCs/>
          <w:sz w:val="24"/>
          <w:szCs w:val="24"/>
          <w:lang w:eastAsia="fr-FR"/>
        </w:rPr>
        <w:tab/>
      </w:r>
      <w:r w:rsidR="004C3B93">
        <w:rPr>
          <w:rFonts w:ascii="Arial" w:eastAsia="Times New Roman" w:hAnsi="Arial" w:cs="Arial"/>
          <w:b/>
          <w:bCs/>
          <w:sz w:val="24"/>
          <w:szCs w:val="24"/>
          <w:lang w:eastAsia="fr-FR"/>
        </w:rPr>
        <w:t>(</w:t>
      </w:r>
      <w:r w:rsidR="004D5665">
        <w:rPr>
          <w:rFonts w:ascii="Arial" w:eastAsia="Times New Roman" w:hAnsi="Arial" w:cs="Arial"/>
          <w:b/>
          <w:bCs/>
          <w:sz w:val="24"/>
          <w:szCs w:val="24"/>
          <w:highlight w:val="yellow"/>
          <w:lang w:eastAsia="fr-FR"/>
        </w:rPr>
        <w:t>10</w:t>
      </w:r>
      <w:r w:rsidR="004F51AC" w:rsidRPr="004D5665">
        <w:rPr>
          <w:rFonts w:ascii="Arial" w:eastAsia="Times New Roman" w:hAnsi="Arial" w:cs="Arial"/>
          <w:b/>
          <w:bCs/>
          <w:sz w:val="24"/>
          <w:szCs w:val="24"/>
          <w:highlight w:val="yellow"/>
          <w:lang w:eastAsia="fr-FR"/>
        </w:rPr>
        <w:t xml:space="preserve"> points</w:t>
      </w:r>
      <w:r w:rsidR="004C3B93" w:rsidRPr="004D5665">
        <w:rPr>
          <w:rFonts w:ascii="Arial" w:eastAsia="Times New Roman" w:hAnsi="Arial" w:cs="Arial"/>
          <w:b/>
          <w:bCs/>
          <w:sz w:val="24"/>
          <w:szCs w:val="24"/>
          <w:highlight w:val="yellow"/>
          <w:lang w:eastAsia="fr-FR"/>
        </w:rPr>
        <w:t>)</w:t>
      </w:r>
    </w:p>
    <w:p w14:paraId="22A1C258" w14:textId="77777777" w:rsidR="00413818" w:rsidRPr="001A6227" w:rsidRDefault="00413818" w:rsidP="007E76DC">
      <w:pPr>
        <w:spacing w:line="240" w:lineRule="auto"/>
        <w:rPr>
          <w:rFonts w:ascii="Arial" w:eastAsia="Times New Roman" w:hAnsi="Arial" w:cs="Arial"/>
          <w:b/>
          <w:bCs/>
          <w:lang w:eastAsia="fr-FR"/>
        </w:rPr>
      </w:pPr>
      <w:r w:rsidRPr="001A6227">
        <w:rPr>
          <w:rFonts w:ascii="Arial" w:eastAsia="Times New Roman" w:hAnsi="Arial" w:cs="Arial"/>
          <w:b/>
          <w:bCs/>
          <w:lang w:eastAsia="fr-FR"/>
        </w:rPr>
        <w:t>FRNG</w:t>
      </w:r>
    </w:p>
    <w:p w14:paraId="32A97905" w14:textId="7C1D95AC"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2019 = 1 352 788 – 854</w:t>
      </w:r>
      <w:r w:rsidR="00E669F7" w:rsidRPr="001A6227">
        <w:rPr>
          <w:rFonts w:ascii="Arial" w:eastAsia="Times New Roman" w:hAnsi="Arial" w:cs="Arial"/>
          <w:bCs/>
          <w:lang w:eastAsia="fr-FR"/>
        </w:rPr>
        <w:t> </w:t>
      </w:r>
      <w:r w:rsidRPr="001A6227">
        <w:rPr>
          <w:rFonts w:ascii="Arial" w:eastAsia="Times New Roman" w:hAnsi="Arial" w:cs="Arial"/>
          <w:bCs/>
          <w:lang w:eastAsia="fr-FR"/>
        </w:rPr>
        <w:t>196</w:t>
      </w:r>
      <w:r w:rsidR="00E669F7" w:rsidRPr="001A6227">
        <w:rPr>
          <w:rFonts w:ascii="Arial" w:eastAsia="Times New Roman" w:hAnsi="Arial" w:cs="Arial"/>
          <w:bCs/>
          <w:lang w:eastAsia="fr-FR"/>
        </w:rPr>
        <w:t xml:space="preserve"> = 498 592 €</w:t>
      </w:r>
      <w:r w:rsidR="004D5665">
        <w:rPr>
          <w:rFonts w:ascii="Arial" w:eastAsia="Times New Roman" w:hAnsi="Arial" w:cs="Arial"/>
          <w:bCs/>
          <w:lang w:eastAsia="fr-FR"/>
        </w:rPr>
        <w:t xml:space="preserve"> </w:t>
      </w:r>
    </w:p>
    <w:p w14:paraId="2A94807F" w14:textId="4AECD725"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2020 = 1 778 870 – 979 349 </w:t>
      </w:r>
      <w:r w:rsidR="00E669F7" w:rsidRPr="001A6227">
        <w:rPr>
          <w:rFonts w:ascii="Arial" w:eastAsia="Times New Roman" w:hAnsi="Arial" w:cs="Arial"/>
          <w:bCs/>
          <w:lang w:eastAsia="fr-FR"/>
        </w:rPr>
        <w:t>= 799 521 €</w:t>
      </w:r>
    </w:p>
    <w:p w14:paraId="1E124D26" w14:textId="2DD5D269"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Évolution = (799 521 – 498 592) / 498 592 = 60,36 %</w:t>
      </w:r>
    </w:p>
    <w:p w14:paraId="3F266972" w14:textId="77777777" w:rsidR="00413818" w:rsidRPr="001A6227" w:rsidRDefault="00413818" w:rsidP="007E76DC">
      <w:pPr>
        <w:spacing w:line="240" w:lineRule="auto"/>
        <w:rPr>
          <w:rFonts w:ascii="Arial" w:eastAsia="Times New Roman" w:hAnsi="Arial" w:cs="Arial"/>
          <w:bCs/>
          <w:lang w:eastAsia="fr-FR"/>
        </w:rPr>
      </w:pPr>
    </w:p>
    <w:p w14:paraId="3FA80E8F" w14:textId="4CFDA3F7" w:rsidR="00413818" w:rsidRPr="001A6227" w:rsidRDefault="00413818" w:rsidP="007E76DC">
      <w:pPr>
        <w:spacing w:line="240" w:lineRule="auto"/>
        <w:rPr>
          <w:rFonts w:ascii="Arial" w:eastAsia="Times New Roman" w:hAnsi="Arial" w:cs="Arial"/>
          <w:b/>
          <w:bCs/>
          <w:lang w:eastAsia="fr-FR"/>
        </w:rPr>
      </w:pPr>
      <w:proofErr w:type="spellStart"/>
      <w:r w:rsidRPr="001A6227">
        <w:rPr>
          <w:rFonts w:ascii="Arial" w:eastAsia="Times New Roman" w:hAnsi="Arial" w:cs="Arial"/>
          <w:b/>
          <w:bCs/>
          <w:lang w:eastAsia="fr-FR"/>
        </w:rPr>
        <w:t>BFR</w:t>
      </w:r>
      <w:proofErr w:type="spellEnd"/>
      <w:r w:rsidRPr="001A6227">
        <w:rPr>
          <w:rFonts w:ascii="Arial" w:eastAsia="Times New Roman" w:hAnsi="Arial" w:cs="Arial"/>
          <w:b/>
          <w:bCs/>
          <w:lang w:eastAsia="fr-FR"/>
        </w:rPr>
        <w:t xml:space="preserve"> </w:t>
      </w:r>
    </w:p>
    <w:p w14:paraId="2D435D1E" w14:textId="7EF5CB73"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2019 = 535 060 – 111 186 </w:t>
      </w:r>
      <w:r w:rsidR="00E669F7" w:rsidRPr="001A6227">
        <w:rPr>
          <w:rFonts w:ascii="Arial" w:eastAsia="Times New Roman" w:hAnsi="Arial" w:cs="Arial"/>
          <w:bCs/>
          <w:lang w:eastAsia="fr-FR"/>
        </w:rPr>
        <w:t>= 423 874 €</w:t>
      </w:r>
    </w:p>
    <w:p w14:paraId="0C580139" w14:textId="368AFBA8"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2020 = 520 752 – 84</w:t>
      </w:r>
      <w:r w:rsidR="00E669F7" w:rsidRPr="001A6227">
        <w:rPr>
          <w:rFonts w:ascii="Arial" w:eastAsia="Times New Roman" w:hAnsi="Arial" w:cs="Arial"/>
          <w:bCs/>
          <w:lang w:eastAsia="fr-FR"/>
        </w:rPr>
        <w:t> </w:t>
      </w:r>
      <w:r w:rsidRPr="001A6227">
        <w:rPr>
          <w:rFonts w:ascii="Arial" w:eastAsia="Times New Roman" w:hAnsi="Arial" w:cs="Arial"/>
          <w:bCs/>
          <w:lang w:eastAsia="fr-FR"/>
        </w:rPr>
        <w:t>940</w:t>
      </w:r>
      <w:r w:rsidR="00E669F7" w:rsidRPr="001A6227">
        <w:rPr>
          <w:rFonts w:ascii="Arial" w:eastAsia="Times New Roman" w:hAnsi="Arial" w:cs="Arial"/>
          <w:bCs/>
          <w:lang w:eastAsia="fr-FR"/>
        </w:rPr>
        <w:t xml:space="preserve"> = 435 812 €</w:t>
      </w:r>
      <w:r w:rsidR="004D5665">
        <w:rPr>
          <w:rFonts w:ascii="Arial" w:eastAsia="Times New Roman" w:hAnsi="Arial" w:cs="Arial"/>
          <w:bCs/>
          <w:lang w:eastAsia="fr-FR"/>
        </w:rPr>
        <w:t xml:space="preserve"> </w:t>
      </w:r>
    </w:p>
    <w:p w14:paraId="27339976" w14:textId="77777777"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Évolution = (435 812 – 423 874) / 423</w:t>
      </w:r>
      <w:r w:rsidR="00E669F7" w:rsidRPr="001A6227">
        <w:rPr>
          <w:rFonts w:ascii="Arial" w:eastAsia="Times New Roman" w:hAnsi="Arial" w:cs="Arial"/>
          <w:bCs/>
          <w:lang w:eastAsia="fr-FR"/>
        </w:rPr>
        <w:t> </w:t>
      </w:r>
      <w:r w:rsidRPr="001A6227">
        <w:rPr>
          <w:rFonts w:ascii="Arial" w:eastAsia="Times New Roman" w:hAnsi="Arial" w:cs="Arial"/>
          <w:bCs/>
          <w:lang w:eastAsia="fr-FR"/>
        </w:rPr>
        <w:t>874</w:t>
      </w:r>
      <w:r w:rsidR="00E669F7" w:rsidRPr="001A6227">
        <w:rPr>
          <w:rFonts w:ascii="Arial" w:eastAsia="Times New Roman" w:hAnsi="Arial" w:cs="Arial"/>
          <w:bCs/>
          <w:lang w:eastAsia="fr-FR"/>
        </w:rPr>
        <w:t xml:space="preserve"> =2,82 %</w:t>
      </w:r>
    </w:p>
    <w:p w14:paraId="01930EBA" w14:textId="77777777" w:rsidR="00413818" w:rsidRPr="001A6227" w:rsidRDefault="00413818" w:rsidP="007E76DC">
      <w:pPr>
        <w:spacing w:line="240" w:lineRule="auto"/>
        <w:rPr>
          <w:rFonts w:ascii="Arial" w:eastAsia="Times New Roman" w:hAnsi="Arial" w:cs="Arial"/>
          <w:bCs/>
          <w:lang w:eastAsia="fr-FR"/>
        </w:rPr>
      </w:pPr>
    </w:p>
    <w:p w14:paraId="01A8944C" w14:textId="77777777" w:rsidR="00413818" w:rsidRPr="001A6227" w:rsidRDefault="00413818" w:rsidP="007E76DC">
      <w:pPr>
        <w:spacing w:line="240" w:lineRule="auto"/>
        <w:rPr>
          <w:rFonts w:ascii="Arial" w:eastAsia="Times New Roman" w:hAnsi="Arial" w:cs="Arial"/>
          <w:b/>
          <w:bCs/>
          <w:lang w:eastAsia="fr-FR"/>
        </w:rPr>
      </w:pPr>
      <w:r w:rsidRPr="001A6227">
        <w:rPr>
          <w:rFonts w:ascii="Arial" w:eastAsia="Times New Roman" w:hAnsi="Arial" w:cs="Arial"/>
          <w:b/>
          <w:bCs/>
          <w:lang w:eastAsia="fr-FR"/>
        </w:rPr>
        <w:t>Trésorerie nette</w:t>
      </w:r>
    </w:p>
    <w:p w14:paraId="3B4DC6DB" w14:textId="77777777" w:rsidR="00413818" w:rsidRPr="001A6227"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FRNG - BFR</w:t>
      </w:r>
    </w:p>
    <w:p w14:paraId="31D29B15" w14:textId="4AD23206"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2019 = 498 592 – 423</w:t>
      </w:r>
      <w:r w:rsidR="002C7688" w:rsidRPr="001A6227">
        <w:rPr>
          <w:rFonts w:ascii="Arial" w:eastAsia="Times New Roman" w:hAnsi="Arial" w:cs="Arial"/>
          <w:bCs/>
          <w:lang w:eastAsia="fr-FR"/>
        </w:rPr>
        <w:t> </w:t>
      </w:r>
      <w:r w:rsidRPr="001A6227">
        <w:rPr>
          <w:rFonts w:ascii="Arial" w:eastAsia="Times New Roman" w:hAnsi="Arial" w:cs="Arial"/>
          <w:bCs/>
          <w:lang w:eastAsia="fr-FR"/>
        </w:rPr>
        <w:t>874</w:t>
      </w:r>
      <w:r w:rsidR="002C7688" w:rsidRPr="001A6227">
        <w:rPr>
          <w:rFonts w:ascii="Arial" w:eastAsia="Times New Roman" w:hAnsi="Arial" w:cs="Arial"/>
          <w:bCs/>
          <w:lang w:eastAsia="fr-FR"/>
        </w:rPr>
        <w:t xml:space="preserve"> = 74 718 €</w:t>
      </w:r>
      <w:r w:rsidR="004D5665">
        <w:rPr>
          <w:rFonts w:ascii="Arial" w:eastAsia="Times New Roman" w:hAnsi="Arial" w:cs="Arial"/>
          <w:bCs/>
          <w:lang w:eastAsia="fr-FR"/>
        </w:rPr>
        <w:t xml:space="preserve"> </w:t>
      </w:r>
    </w:p>
    <w:p w14:paraId="779445D9" w14:textId="6996753E"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2020 = 799 521 – 435 812 </w:t>
      </w:r>
      <w:r w:rsidR="002C7688" w:rsidRPr="001A6227">
        <w:rPr>
          <w:rFonts w:ascii="Arial" w:eastAsia="Times New Roman" w:hAnsi="Arial" w:cs="Arial"/>
          <w:bCs/>
          <w:lang w:eastAsia="fr-FR"/>
        </w:rPr>
        <w:t>= 363 709 €</w:t>
      </w:r>
      <w:r w:rsidR="004D5665">
        <w:rPr>
          <w:rFonts w:ascii="Arial" w:eastAsia="Times New Roman" w:hAnsi="Arial" w:cs="Arial"/>
          <w:bCs/>
          <w:lang w:eastAsia="fr-FR"/>
        </w:rPr>
        <w:t xml:space="preserve"> </w:t>
      </w:r>
    </w:p>
    <w:p w14:paraId="0E489224" w14:textId="77777777" w:rsidR="00413818" w:rsidRPr="004C3B93" w:rsidRDefault="00413818" w:rsidP="007E76DC">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Évolution = (363 709 – 74 718) / 74 718 </w:t>
      </w:r>
      <w:r w:rsidR="002C7688" w:rsidRPr="001A6227">
        <w:rPr>
          <w:rFonts w:ascii="Arial" w:eastAsia="Times New Roman" w:hAnsi="Arial" w:cs="Arial"/>
          <w:bCs/>
          <w:lang w:eastAsia="fr-FR"/>
        </w:rPr>
        <w:t>= 386,78 %</w:t>
      </w:r>
    </w:p>
    <w:p w14:paraId="111B2FBF" w14:textId="77777777" w:rsidR="00FB269C" w:rsidRPr="001A6227" w:rsidRDefault="00FB269C">
      <w:pPr>
        <w:rPr>
          <w:rFonts w:ascii="Arial" w:eastAsia="Times New Roman" w:hAnsi="Arial" w:cs="Arial"/>
          <w:bCs/>
          <w:lang w:eastAsia="fr-FR"/>
        </w:rPr>
      </w:pPr>
      <w:r w:rsidRPr="001A6227">
        <w:rPr>
          <w:rFonts w:ascii="Arial" w:eastAsia="Times New Roman" w:hAnsi="Arial" w:cs="Arial"/>
          <w:bCs/>
          <w:lang w:eastAsia="fr-FR"/>
        </w:rPr>
        <w:br w:type="page"/>
      </w:r>
    </w:p>
    <w:p w14:paraId="5B035C7F" w14:textId="77777777" w:rsidR="00DE385A" w:rsidRPr="001A6227" w:rsidRDefault="00DE385A" w:rsidP="00413818">
      <w:pPr>
        <w:spacing w:line="240" w:lineRule="auto"/>
        <w:jc w:val="center"/>
        <w:rPr>
          <w:rFonts w:ascii="Arial" w:eastAsia="Times New Roman" w:hAnsi="Arial" w:cs="Arial"/>
          <w:b/>
          <w:bCs/>
          <w:lang w:eastAsia="fr-FR"/>
        </w:rPr>
      </w:pPr>
    </w:p>
    <w:p w14:paraId="2B005120" w14:textId="77777777" w:rsidR="00413818" w:rsidRPr="001A6227" w:rsidRDefault="00413818" w:rsidP="00413818">
      <w:pPr>
        <w:spacing w:line="240" w:lineRule="auto"/>
        <w:jc w:val="center"/>
        <w:rPr>
          <w:rFonts w:ascii="Arial" w:eastAsia="Times New Roman" w:hAnsi="Arial" w:cs="Arial"/>
          <w:b/>
          <w:bCs/>
          <w:lang w:eastAsia="fr-FR"/>
        </w:rPr>
      </w:pPr>
      <w:r w:rsidRPr="001A6227">
        <w:rPr>
          <w:rFonts w:ascii="Arial" w:eastAsia="Times New Roman" w:hAnsi="Arial" w:cs="Arial"/>
          <w:b/>
          <w:bCs/>
          <w:lang w:eastAsia="fr-FR"/>
        </w:rPr>
        <w:t xml:space="preserve">Tableau récapitulatif </w:t>
      </w:r>
    </w:p>
    <w:tbl>
      <w:tblPr>
        <w:tblStyle w:val="Grilledutableau"/>
        <w:tblW w:w="0" w:type="auto"/>
        <w:tblLook w:val="04A0" w:firstRow="1" w:lastRow="0" w:firstColumn="1" w:lastColumn="0" w:noHBand="0" w:noVBand="1"/>
      </w:tblPr>
      <w:tblGrid>
        <w:gridCol w:w="2265"/>
        <w:gridCol w:w="2265"/>
        <w:gridCol w:w="2266"/>
        <w:gridCol w:w="2266"/>
      </w:tblGrid>
      <w:tr w:rsidR="001A6227" w:rsidRPr="001A6227" w14:paraId="40A07756" w14:textId="77777777" w:rsidTr="007E76DC">
        <w:tc>
          <w:tcPr>
            <w:tcW w:w="2265" w:type="dxa"/>
          </w:tcPr>
          <w:p w14:paraId="4634FC0F" w14:textId="77777777" w:rsidR="007E76DC" w:rsidRPr="001A6227" w:rsidRDefault="007E76DC" w:rsidP="007E76DC">
            <w:pPr>
              <w:rPr>
                <w:rFonts w:ascii="Arial" w:eastAsia="Times New Roman" w:hAnsi="Arial" w:cs="Arial"/>
                <w:bCs/>
                <w:lang w:eastAsia="fr-FR"/>
              </w:rPr>
            </w:pPr>
          </w:p>
        </w:tc>
        <w:tc>
          <w:tcPr>
            <w:tcW w:w="2265" w:type="dxa"/>
          </w:tcPr>
          <w:p w14:paraId="79B6B791"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FRNG</w:t>
            </w:r>
          </w:p>
        </w:tc>
        <w:tc>
          <w:tcPr>
            <w:tcW w:w="2266" w:type="dxa"/>
          </w:tcPr>
          <w:p w14:paraId="71AD39FF"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BFR</w:t>
            </w:r>
          </w:p>
        </w:tc>
        <w:tc>
          <w:tcPr>
            <w:tcW w:w="2266" w:type="dxa"/>
          </w:tcPr>
          <w:p w14:paraId="1D96E373"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Trésorerie nette</w:t>
            </w:r>
          </w:p>
        </w:tc>
      </w:tr>
      <w:tr w:rsidR="001A6227" w:rsidRPr="001A6227" w14:paraId="7933F1D9" w14:textId="77777777" w:rsidTr="007E76DC">
        <w:tc>
          <w:tcPr>
            <w:tcW w:w="2265" w:type="dxa"/>
          </w:tcPr>
          <w:p w14:paraId="670EFFCC"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2019</w:t>
            </w:r>
          </w:p>
        </w:tc>
        <w:tc>
          <w:tcPr>
            <w:tcW w:w="2265" w:type="dxa"/>
          </w:tcPr>
          <w:p w14:paraId="457821FB"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498 592</w:t>
            </w:r>
          </w:p>
        </w:tc>
        <w:tc>
          <w:tcPr>
            <w:tcW w:w="2266" w:type="dxa"/>
          </w:tcPr>
          <w:p w14:paraId="2CBC711A"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423 874</w:t>
            </w:r>
          </w:p>
        </w:tc>
        <w:tc>
          <w:tcPr>
            <w:tcW w:w="2266" w:type="dxa"/>
          </w:tcPr>
          <w:p w14:paraId="544BC0E5" w14:textId="77777777" w:rsidR="007E76DC" w:rsidRPr="001A6227" w:rsidRDefault="00413818" w:rsidP="007E76DC">
            <w:pPr>
              <w:rPr>
                <w:rFonts w:ascii="Arial" w:eastAsia="Times New Roman" w:hAnsi="Arial" w:cs="Arial"/>
                <w:bCs/>
                <w:lang w:eastAsia="fr-FR"/>
              </w:rPr>
            </w:pPr>
            <w:r w:rsidRPr="001A6227">
              <w:rPr>
                <w:rFonts w:ascii="Arial" w:eastAsia="Times New Roman" w:hAnsi="Arial" w:cs="Arial"/>
                <w:bCs/>
                <w:lang w:eastAsia="fr-FR"/>
              </w:rPr>
              <w:t>74 718</w:t>
            </w:r>
          </w:p>
        </w:tc>
      </w:tr>
      <w:tr w:rsidR="001A6227" w:rsidRPr="001A6227" w14:paraId="3A1C841A" w14:textId="77777777" w:rsidTr="007E76DC">
        <w:tc>
          <w:tcPr>
            <w:tcW w:w="2265" w:type="dxa"/>
          </w:tcPr>
          <w:p w14:paraId="58D1F7CF"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2020</w:t>
            </w:r>
          </w:p>
        </w:tc>
        <w:tc>
          <w:tcPr>
            <w:tcW w:w="2265" w:type="dxa"/>
          </w:tcPr>
          <w:p w14:paraId="0A1CA249"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799 521</w:t>
            </w:r>
          </w:p>
        </w:tc>
        <w:tc>
          <w:tcPr>
            <w:tcW w:w="2266" w:type="dxa"/>
          </w:tcPr>
          <w:p w14:paraId="078A7515"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435 812</w:t>
            </w:r>
          </w:p>
        </w:tc>
        <w:tc>
          <w:tcPr>
            <w:tcW w:w="2266" w:type="dxa"/>
          </w:tcPr>
          <w:p w14:paraId="65BA60B2" w14:textId="77777777" w:rsidR="007E76DC" w:rsidRPr="001A6227" w:rsidRDefault="00413818" w:rsidP="007E76DC">
            <w:pPr>
              <w:rPr>
                <w:rFonts w:ascii="Arial" w:eastAsia="Times New Roman" w:hAnsi="Arial" w:cs="Arial"/>
                <w:bCs/>
                <w:lang w:eastAsia="fr-FR"/>
              </w:rPr>
            </w:pPr>
            <w:r w:rsidRPr="001A6227">
              <w:rPr>
                <w:rFonts w:ascii="Arial" w:eastAsia="Times New Roman" w:hAnsi="Arial" w:cs="Arial"/>
                <w:bCs/>
                <w:lang w:eastAsia="fr-FR"/>
              </w:rPr>
              <w:t>363 709</w:t>
            </w:r>
          </w:p>
        </w:tc>
      </w:tr>
      <w:tr w:rsidR="007E76DC" w:rsidRPr="001A6227" w14:paraId="2764D27A" w14:textId="77777777" w:rsidTr="007E76DC">
        <w:tc>
          <w:tcPr>
            <w:tcW w:w="2265" w:type="dxa"/>
          </w:tcPr>
          <w:p w14:paraId="7304A173" w14:textId="77777777" w:rsidR="007E76DC" w:rsidRPr="001A6227" w:rsidRDefault="007E76DC" w:rsidP="007E76DC">
            <w:pPr>
              <w:rPr>
                <w:rFonts w:ascii="Arial" w:eastAsia="Times New Roman" w:hAnsi="Arial" w:cs="Arial"/>
                <w:bCs/>
                <w:lang w:eastAsia="fr-FR"/>
              </w:rPr>
            </w:pPr>
            <w:r w:rsidRPr="001A6227">
              <w:rPr>
                <w:rFonts w:ascii="Arial" w:eastAsia="Times New Roman" w:hAnsi="Arial" w:cs="Arial"/>
                <w:bCs/>
                <w:lang w:eastAsia="fr-FR"/>
              </w:rPr>
              <w:t>Taux d’évolution</w:t>
            </w:r>
          </w:p>
        </w:tc>
        <w:tc>
          <w:tcPr>
            <w:tcW w:w="2265" w:type="dxa"/>
          </w:tcPr>
          <w:p w14:paraId="13B2A7F9" w14:textId="77777777" w:rsidR="007E76DC" w:rsidRPr="001A6227" w:rsidRDefault="00413818" w:rsidP="007E76DC">
            <w:pPr>
              <w:rPr>
                <w:rFonts w:ascii="Arial" w:eastAsia="Times New Roman" w:hAnsi="Arial" w:cs="Arial"/>
                <w:bCs/>
                <w:lang w:eastAsia="fr-FR"/>
              </w:rPr>
            </w:pPr>
            <w:r w:rsidRPr="001A6227">
              <w:rPr>
                <w:rFonts w:ascii="Arial" w:eastAsia="Times New Roman" w:hAnsi="Arial" w:cs="Arial"/>
                <w:bCs/>
                <w:lang w:eastAsia="fr-FR"/>
              </w:rPr>
              <w:t>60,36 %</w:t>
            </w:r>
          </w:p>
        </w:tc>
        <w:tc>
          <w:tcPr>
            <w:tcW w:w="2266" w:type="dxa"/>
          </w:tcPr>
          <w:p w14:paraId="47E2C436" w14:textId="77777777" w:rsidR="007E76DC" w:rsidRPr="001A6227" w:rsidRDefault="00413818" w:rsidP="007E76DC">
            <w:pPr>
              <w:rPr>
                <w:rFonts w:ascii="Arial" w:eastAsia="Times New Roman" w:hAnsi="Arial" w:cs="Arial"/>
                <w:bCs/>
                <w:lang w:eastAsia="fr-FR"/>
              </w:rPr>
            </w:pPr>
            <w:r w:rsidRPr="001A6227">
              <w:rPr>
                <w:rFonts w:ascii="Arial" w:eastAsia="Times New Roman" w:hAnsi="Arial" w:cs="Arial"/>
                <w:bCs/>
                <w:lang w:eastAsia="fr-FR"/>
              </w:rPr>
              <w:t>2,82 %</w:t>
            </w:r>
          </w:p>
        </w:tc>
        <w:tc>
          <w:tcPr>
            <w:tcW w:w="2266" w:type="dxa"/>
          </w:tcPr>
          <w:p w14:paraId="618E33C4" w14:textId="77777777" w:rsidR="007E76DC" w:rsidRPr="001A6227" w:rsidRDefault="00413818" w:rsidP="00413818">
            <w:pPr>
              <w:rPr>
                <w:rFonts w:ascii="Arial" w:eastAsia="Times New Roman" w:hAnsi="Arial" w:cs="Arial"/>
                <w:bCs/>
                <w:lang w:eastAsia="fr-FR"/>
              </w:rPr>
            </w:pPr>
            <w:r w:rsidRPr="001A6227">
              <w:rPr>
                <w:rFonts w:ascii="Arial" w:eastAsia="Times New Roman" w:hAnsi="Arial" w:cs="Arial"/>
                <w:bCs/>
                <w:lang w:eastAsia="fr-FR"/>
              </w:rPr>
              <w:t>386,78 %</w:t>
            </w:r>
          </w:p>
        </w:tc>
      </w:tr>
    </w:tbl>
    <w:p w14:paraId="61EB57DA" w14:textId="77777777" w:rsidR="00FB269C" w:rsidRPr="001A6227" w:rsidRDefault="00FB269C" w:rsidP="00FB269C">
      <w:pPr>
        <w:pStyle w:val="Paragraphedeliste"/>
        <w:spacing w:line="240" w:lineRule="auto"/>
        <w:ind w:left="0"/>
        <w:rPr>
          <w:rFonts w:ascii="Arial" w:eastAsia="Times New Roman" w:hAnsi="Arial" w:cs="Arial"/>
          <w:bCs/>
          <w:lang w:eastAsia="fr-FR"/>
        </w:rPr>
      </w:pPr>
    </w:p>
    <w:p w14:paraId="1C96359E" w14:textId="77777777" w:rsidR="00D74A88" w:rsidRPr="001A6227" w:rsidRDefault="00FB269C" w:rsidP="00D44CAC">
      <w:pPr>
        <w:pStyle w:val="Paragraphedeliste"/>
        <w:numPr>
          <w:ilvl w:val="0"/>
          <w:numId w:val="7"/>
        </w:numPr>
        <w:spacing w:line="240" w:lineRule="auto"/>
        <w:ind w:left="1060" w:hanging="703"/>
        <w:rPr>
          <w:rFonts w:ascii="Arial" w:eastAsia="Times New Roman" w:hAnsi="Arial" w:cs="Arial"/>
          <w:b/>
          <w:bCs/>
          <w:sz w:val="24"/>
          <w:szCs w:val="24"/>
          <w:lang w:eastAsia="fr-FR"/>
        </w:rPr>
      </w:pPr>
      <w:r w:rsidRPr="001A6227">
        <w:rPr>
          <w:rFonts w:ascii="Arial" w:eastAsia="Times New Roman" w:hAnsi="Arial" w:cs="Arial"/>
          <w:b/>
          <w:bCs/>
          <w:sz w:val="24"/>
          <w:szCs w:val="24"/>
          <w:lang w:eastAsia="fr-FR"/>
        </w:rPr>
        <w:t>Proposez une méthode de vérification du calcul de la trésorerie nette</w:t>
      </w:r>
      <w:r w:rsidR="00D44CAC" w:rsidRPr="001A6227">
        <w:rPr>
          <w:rFonts w:ascii="Arial" w:eastAsia="Times New Roman" w:hAnsi="Arial" w:cs="Arial"/>
          <w:b/>
          <w:bCs/>
          <w:sz w:val="24"/>
          <w:szCs w:val="24"/>
          <w:lang w:eastAsia="fr-FR"/>
        </w:rPr>
        <w:tab/>
      </w:r>
      <w:r w:rsidR="004F51AC" w:rsidRPr="004D5665">
        <w:rPr>
          <w:rFonts w:ascii="Arial" w:eastAsia="Times New Roman" w:hAnsi="Arial" w:cs="Arial"/>
          <w:b/>
          <w:bCs/>
          <w:sz w:val="24"/>
          <w:szCs w:val="24"/>
          <w:highlight w:val="yellow"/>
          <w:lang w:eastAsia="fr-FR"/>
        </w:rPr>
        <w:t>2 points</w:t>
      </w:r>
    </w:p>
    <w:p w14:paraId="4993A5B2" w14:textId="77777777" w:rsidR="001979AE" w:rsidRPr="001A6227" w:rsidRDefault="001979AE" w:rsidP="001979AE">
      <w:pPr>
        <w:spacing w:line="240" w:lineRule="auto"/>
        <w:rPr>
          <w:rFonts w:ascii="Arial" w:eastAsia="Times New Roman" w:hAnsi="Arial" w:cs="Arial"/>
          <w:bCs/>
          <w:lang w:eastAsia="fr-FR"/>
        </w:rPr>
      </w:pPr>
      <w:r w:rsidRPr="001A6227">
        <w:rPr>
          <w:rFonts w:ascii="Arial" w:eastAsia="Times New Roman" w:hAnsi="Arial" w:cs="Arial"/>
          <w:bCs/>
          <w:lang w:eastAsia="fr-FR"/>
        </w:rPr>
        <w:t xml:space="preserve">Dans le bilan fonctionnel Trésorerie active – trésorerie passive </w:t>
      </w:r>
    </w:p>
    <w:p w14:paraId="40487974" w14:textId="0FC3F7E3" w:rsidR="001979AE" w:rsidRPr="001A6227" w:rsidRDefault="001979AE" w:rsidP="001979AE">
      <w:pPr>
        <w:spacing w:line="240" w:lineRule="auto"/>
        <w:rPr>
          <w:rFonts w:ascii="Arial" w:eastAsia="Times New Roman" w:hAnsi="Arial" w:cs="Arial"/>
          <w:bCs/>
          <w:lang w:eastAsia="fr-FR"/>
        </w:rPr>
      </w:pPr>
      <w:r w:rsidRPr="001A6227">
        <w:rPr>
          <w:rFonts w:ascii="Arial" w:eastAsia="Times New Roman" w:hAnsi="Arial" w:cs="Arial"/>
          <w:bCs/>
          <w:lang w:eastAsia="fr-FR"/>
        </w:rPr>
        <w:t>2019 : 93 635 – 18 917 = 74 718 €</w:t>
      </w:r>
      <w:r w:rsidR="004D5665">
        <w:rPr>
          <w:rFonts w:ascii="Arial" w:eastAsia="Times New Roman" w:hAnsi="Arial" w:cs="Arial"/>
          <w:bCs/>
          <w:lang w:eastAsia="fr-FR"/>
        </w:rPr>
        <w:t xml:space="preserve"> </w:t>
      </w:r>
    </w:p>
    <w:p w14:paraId="37681E2C" w14:textId="487C80CB" w:rsidR="001979AE" w:rsidRPr="001A6227" w:rsidRDefault="001979AE" w:rsidP="001979AE">
      <w:pPr>
        <w:spacing w:line="240" w:lineRule="auto"/>
        <w:rPr>
          <w:rFonts w:ascii="Arial" w:eastAsia="Times New Roman" w:hAnsi="Arial" w:cs="Arial"/>
          <w:bCs/>
          <w:lang w:eastAsia="fr-FR"/>
        </w:rPr>
      </w:pPr>
      <w:r w:rsidRPr="001A6227">
        <w:rPr>
          <w:rFonts w:ascii="Arial" w:eastAsia="Times New Roman" w:hAnsi="Arial" w:cs="Arial"/>
          <w:bCs/>
          <w:lang w:eastAsia="fr-FR"/>
        </w:rPr>
        <w:t>2020 : 383 946 – 20237 = 363 709 €</w:t>
      </w:r>
      <w:r w:rsidR="004D5665">
        <w:rPr>
          <w:rFonts w:ascii="Arial" w:eastAsia="Times New Roman" w:hAnsi="Arial" w:cs="Arial"/>
          <w:bCs/>
          <w:lang w:eastAsia="fr-FR"/>
        </w:rPr>
        <w:t xml:space="preserve"> </w:t>
      </w:r>
    </w:p>
    <w:p w14:paraId="305A5F51" w14:textId="77777777" w:rsidR="000910DE" w:rsidRPr="004D5665" w:rsidRDefault="00FB269C" w:rsidP="000910DE">
      <w:pPr>
        <w:pStyle w:val="Paragraphedeliste"/>
        <w:numPr>
          <w:ilvl w:val="0"/>
          <w:numId w:val="7"/>
        </w:numPr>
        <w:spacing w:line="240" w:lineRule="auto"/>
        <w:rPr>
          <w:rFonts w:ascii="Arial" w:eastAsia="Times New Roman" w:hAnsi="Arial" w:cs="Arial"/>
          <w:b/>
          <w:bCs/>
          <w:highlight w:val="yellow"/>
          <w:lang w:eastAsia="fr-FR"/>
        </w:rPr>
      </w:pPr>
      <w:r w:rsidRPr="001A6227">
        <w:rPr>
          <w:rFonts w:ascii="Arial" w:eastAsia="Times New Roman" w:hAnsi="Arial" w:cs="Arial"/>
          <w:b/>
          <w:bCs/>
          <w:lang w:eastAsia="fr-FR"/>
        </w:rPr>
        <w:t>Indiquer l’intérêt pour M. Martin de présenter le bilan fonctionnel</w:t>
      </w:r>
      <w:r w:rsidR="000910DE" w:rsidRPr="001A6227">
        <w:rPr>
          <w:rFonts w:ascii="Arial" w:eastAsia="Times New Roman" w:hAnsi="Arial" w:cs="Arial"/>
          <w:b/>
          <w:bCs/>
          <w:lang w:eastAsia="fr-FR"/>
        </w:rPr>
        <w:t xml:space="preserve"> et commentez ces indicateurs et leur évolution.</w:t>
      </w:r>
      <w:r w:rsidR="004D5665">
        <w:rPr>
          <w:rFonts w:ascii="Arial" w:eastAsia="Times New Roman" w:hAnsi="Arial" w:cs="Arial"/>
          <w:b/>
          <w:bCs/>
          <w:lang w:eastAsia="fr-FR"/>
        </w:rPr>
        <w:t xml:space="preserve"> </w:t>
      </w:r>
      <w:r w:rsidR="004D5665" w:rsidRPr="004D5665">
        <w:rPr>
          <w:rFonts w:ascii="Arial" w:eastAsia="Times New Roman" w:hAnsi="Arial" w:cs="Arial"/>
          <w:b/>
          <w:bCs/>
          <w:highlight w:val="yellow"/>
          <w:lang w:eastAsia="fr-FR"/>
        </w:rPr>
        <w:t>(13 points)</w:t>
      </w:r>
    </w:p>
    <w:p w14:paraId="16077E65" w14:textId="77777777" w:rsidR="000910DE" w:rsidRPr="001A6227" w:rsidRDefault="000910DE" w:rsidP="000910DE">
      <w:pPr>
        <w:pStyle w:val="Paragraphedeliste"/>
        <w:spacing w:line="240" w:lineRule="auto"/>
        <w:ind w:left="851"/>
        <w:rPr>
          <w:rFonts w:ascii="Arial" w:eastAsia="Times New Roman" w:hAnsi="Arial" w:cs="Arial"/>
          <w:bCs/>
          <w:lang w:eastAsia="fr-FR"/>
        </w:rPr>
      </w:pPr>
    </w:p>
    <w:p w14:paraId="3888A59C" w14:textId="17C3ACA7" w:rsidR="00FB269C" w:rsidRPr="001A6227" w:rsidRDefault="000910DE" w:rsidP="000910DE">
      <w:pPr>
        <w:spacing w:line="240" w:lineRule="auto"/>
        <w:rPr>
          <w:rFonts w:ascii="Arial" w:eastAsia="Times New Roman" w:hAnsi="Arial" w:cs="Arial"/>
          <w:b/>
          <w:bCs/>
          <w:lang w:eastAsia="fr-FR"/>
        </w:rPr>
      </w:pPr>
      <w:r w:rsidRPr="001A6227">
        <w:rPr>
          <w:rFonts w:ascii="Arial" w:eastAsia="Times New Roman" w:hAnsi="Arial" w:cs="Arial"/>
          <w:b/>
          <w:bCs/>
          <w:lang w:eastAsia="fr-FR"/>
        </w:rPr>
        <w:t>Intérêt du bilan fonctionnel</w:t>
      </w:r>
      <w:r w:rsidRPr="001A6227">
        <w:rPr>
          <w:rFonts w:ascii="Arial" w:eastAsia="Times New Roman" w:hAnsi="Arial" w:cs="Arial"/>
          <w:b/>
          <w:bCs/>
          <w:lang w:eastAsia="fr-FR"/>
        </w:rPr>
        <w:tab/>
      </w:r>
    </w:p>
    <w:p w14:paraId="6D461EFF" w14:textId="77777777" w:rsidR="00FB269C" w:rsidRPr="001A6227" w:rsidRDefault="00FB269C" w:rsidP="00FB269C">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Le bilan fonctionnel permet d'étudier d'où vient l'argent et comment il est utilisé en distinguant :</w:t>
      </w:r>
    </w:p>
    <w:p w14:paraId="362007DC" w14:textId="4015E24E" w:rsidR="00FB269C" w:rsidRPr="004C3B93" w:rsidRDefault="00FB269C" w:rsidP="00FB269C">
      <w:pPr>
        <w:spacing w:line="240" w:lineRule="auto"/>
        <w:jc w:val="both"/>
        <w:rPr>
          <w:rFonts w:ascii="Arial" w:eastAsia="Times New Roman" w:hAnsi="Arial" w:cs="Arial"/>
          <w:bCs/>
          <w:lang w:eastAsia="fr-FR"/>
        </w:rPr>
      </w:pPr>
      <w:proofErr w:type="gramStart"/>
      <w:r w:rsidRPr="001A6227">
        <w:rPr>
          <w:rFonts w:ascii="Arial" w:eastAsia="Times New Roman" w:hAnsi="Arial" w:cs="Arial"/>
          <w:bCs/>
          <w:lang w:eastAsia="fr-FR"/>
        </w:rPr>
        <w:t>les</w:t>
      </w:r>
      <w:proofErr w:type="gramEnd"/>
      <w:r w:rsidRPr="001A6227">
        <w:rPr>
          <w:rFonts w:ascii="Arial" w:eastAsia="Times New Roman" w:hAnsi="Arial" w:cs="Arial"/>
          <w:bCs/>
          <w:lang w:eastAsia="fr-FR"/>
        </w:rPr>
        <w:t xml:space="preserve"> opérations à long terme d'investissement (cycle long ; les achats d'immobilisations par exemple) et de financement (emprunt) ; </w:t>
      </w:r>
    </w:p>
    <w:p w14:paraId="05DA5A11" w14:textId="2AB280D4" w:rsidR="00FB269C" w:rsidRPr="004C3B93" w:rsidRDefault="00FB269C" w:rsidP="00FB269C">
      <w:pPr>
        <w:spacing w:line="240" w:lineRule="auto"/>
        <w:jc w:val="both"/>
        <w:rPr>
          <w:rFonts w:ascii="Arial" w:eastAsia="Times New Roman" w:hAnsi="Arial" w:cs="Arial"/>
          <w:bCs/>
          <w:lang w:eastAsia="fr-FR"/>
        </w:rPr>
      </w:pPr>
      <w:proofErr w:type="gramStart"/>
      <w:r w:rsidRPr="001A6227">
        <w:rPr>
          <w:rFonts w:ascii="Arial" w:eastAsia="Times New Roman" w:hAnsi="Arial" w:cs="Arial"/>
          <w:bCs/>
          <w:lang w:eastAsia="fr-FR"/>
        </w:rPr>
        <w:t>les</w:t>
      </w:r>
      <w:proofErr w:type="gramEnd"/>
      <w:r w:rsidRPr="001A6227">
        <w:rPr>
          <w:rFonts w:ascii="Arial" w:eastAsia="Times New Roman" w:hAnsi="Arial" w:cs="Arial"/>
          <w:bCs/>
          <w:lang w:eastAsia="fr-FR"/>
        </w:rPr>
        <w:t xml:space="preserve"> opérations à court terme dites d'exploitation (cycle court ; avec par exemple financement des stocks et des créances clients par les dettes fournisseurs marchandises, obtention d'un délai de règlement).</w:t>
      </w:r>
    </w:p>
    <w:p w14:paraId="24BDFB2B" w14:textId="77777777" w:rsidR="00FB269C" w:rsidRPr="001A6227" w:rsidRDefault="00FB269C" w:rsidP="00FB269C">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Il permet de détecter les déséquilibres et de rechercher des solutions.</w:t>
      </w:r>
    </w:p>
    <w:p w14:paraId="275974EB" w14:textId="3822B9D5" w:rsidR="001979AE" w:rsidRPr="001A6227" w:rsidRDefault="004D5665" w:rsidP="001979AE">
      <w:pPr>
        <w:spacing w:line="240" w:lineRule="auto"/>
        <w:rPr>
          <w:rFonts w:ascii="Arial" w:eastAsia="Times New Roman" w:hAnsi="Arial" w:cs="Arial"/>
          <w:b/>
          <w:bCs/>
          <w:lang w:eastAsia="fr-FR"/>
        </w:rPr>
      </w:pPr>
      <w:r>
        <w:rPr>
          <w:rFonts w:ascii="Arial" w:eastAsia="Times New Roman" w:hAnsi="Arial" w:cs="Arial"/>
          <w:b/>
          <w:bCs/>
          <w:lang w:eastAsia="fr-FR"/>
        </w:rPr>
        <w:t xml:space="preserve">Commentaire des indicateurs </w:t>
      </w:r>
    </w:p>
    <w:p w14:paraId="2DE71C1C" w14:textId="77777777" w:rsidR="001979AE" w:rsidRPr="001A6227" w:rsidRDefault="001979AE"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L'étude du fonds de roulement net global (FRNG), du besoin en fonds de roulement (BFR) et de la trésorerie nette (TN) va mettre en évidence plusieurs situations dont certaines peuvent s'avérer dangereuses pour la pérennité de l'entreprise. Celle-ci dispose de plusieurs moyens d'action plus ou moins faciles à mettre en œuvre pour tenter d'améliorer sa situation financière</w:t>
      </w:r>
    </w:p>
    <w:p w14:paraId="162E359E" w14:textId="77777777" w:rsidR="001979AE" w:rsidRPr="001A6227" w:rsidRDefault="001979AE" w:rsidP="001979AE">
      <w:pPr>
        <w:spacing w:line="240" w:lineRule="auto"/>
        <w:jc w:val="both"/>
        <w:rPr>
          <w:rFonts w:ascii="Arial" w:eastAsia="Times New Roman" w:hAnsi="Arial" w:cs="Arial"/>
          <w:bCs/>
          <w:lang w:eastAsia="fr-FR"/>
        </w:rPr>
      </w:pPr>
      <w:r w:rsidRPr="001A6227">
        <w:rPr>
          <w:rFonts w:ascii="Arial" w:eastAsia="Times New Roman" w:hAnsi="Arial" w:cs="Arial"/>
          <w:b/>
          <w:bCs/>
          <w:lang w:eastAsia="fr-FR"/>
        </w:rPr>
        <w:t>Le FRNG</w:t>
      </w:r>
      <w:r w:rsidRPr="001A6227">
        <w:rPr>
          <w:rFonts w:ascii="Arial" w:eastAsia="Times New Roman" w:hAnsi="Arial" w:cs="Arial"/>
          <w:bCs/>
          <w:lang w:eastAsia="fr-FR"/>
        </w:rPr>
        <w:t xml:space="preserve"> résulte de l’étude du cycle de financement long. La règle de l’équilibre financier indique que les ressources à long terme financent les emplois à long terme.</w:t>
      </w:r>
    </w:p>
    <w:p w14:paraId="05CBA0E7" w14:textId="77777777" w:rsidR="00537253" w:rsidRPr="001A6227" w:rsidRDefault="001979AE"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Cette règle est respectée.</w:t>
      </w:r>
    </w:p>
    <w:p w14:paraId="6FE881BA" w14:textId="460A0892" w:rsidR="001979AE" w:rsidRPr="004C3B93" w:rsidRDefault="001979AE"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 xml:space="preserve">En 2019 comme en 2020 les ressources stables </w:t>
      </w:r>
      <w:r w:rsidR="001B7BC9" w:rsidRPr="001A6227">
        <w:rPr>
          <w:rFonts w:ascii="Arial" w:eastAsia="Times New Roman" w:hAnsi="Arial" w:cs="Arial"/>
          <w:bCs/>
          <w:lang w:eastAsia="fr-FR"/>
        </w:rPr>
        <w:t>financent</w:t>
      </w:r>
      <w:r w:rsidRPr="001A6227">
        <w:rPr>
          <w:rFonts w:ascii="Arial" w:eastAsia="Times New Roman" w:hAnsi="Arial" w:cs="Arial"/>
          <w:bCs/>
          <w:lang w:eastAsia="fr-FR"/>
        </w:rPr>
        <w:t xml:space="preserve"> les emplois stables et </w:t>
      </w:r>
      <w:r w:rsidR="001B7BC9" w:rsidRPr="001A6227">
        <w:rPr>
          <w:rFonts w:ascii="Arial" w:eastAsia="Times New Roman" w:hAnsi="Arial" w:cs="Arial"/>
          <w:bCs/>
          <w:lang w:eastAsia="fr-FR"/>
        </w:rPr>
        <w:t xml:space="preserve">dégagent </w:t>
      </w:r>
      <w:r w:rsidRPr="001A6227">
        <w:rPr>
          <w:rFonts w:ascii="Arial" w:eastAsia="Times New Roman" w:hAnsi="Arial" w:cs="Arial"/>
          <w:bCs/>
          <w:lang w:eastAsia="fr-FR"/>
        </w:rPr>
        <w:t xml:space="preserve">un excédent le FRNG qui permettra de financer les besoins liés à l’activité </w:t>
      </w:r>
      <w:r w:rsidR="001B7BC9" w:rsidRPr="001A6227">
        <w:rPr>
          <w:rFonts w:ascii="Arial" w:eastAsia="Times New Roman" w:hAnsi="Arial" w:cs="Arial"/>
          <w:bCs/>
          <w:lang w:eastAsia="fr-FR"/>
        </w:rPr>
        <w:t xml:space="preserve">(cycle d’exploitation) </w:t>
      </w:r>
      <w:r w:rsidRPr="001A6227">
        <w:rPr>
          <w:rFonts w:ascii="Arial" w:eastAsia="Times New Roman" w:hAnsi="Arial" w:cs="Arial"/>
          <w:bCs/>
          <w:lang w:eastAsia="fr-FR"/>
        </w:rPr>
        <w:t>de l’</w:t>
      </w:r>
      <w:r w:rsidR="001B7BC9" w:rsidRPr="001A6227">
        <w:rPr>
          <w:rFonts w:ascii="Arial" w:eastAsia="Times New Roman" w:hAnsi="Arial" w:cs="Arial"/>
          <w:bCs/>
          <w:lang w:eastAsia="fr-FR"/>
        </w:rPr>
        <w:t>entreprise si nécessaire.</w:t>
      </w:r>
    </w:p>
    <w:p w14:paraId="45C5A52C" w14:textId="77777777" w:rsidR="001979AE" w:rsidRPr="001A6227" w:rsidRDefault="001B7BC9"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Le FRNG augmente de 60,32 %. Les ressources stables augmentent de 31,50 % (augmentation du capital et emprunt essentiellement) alors que les emplois n’augmentent que de 14,52 %. (Immobilisations corporelles et immobilisations financières).</w:t>
      </w:r>
    </w:p>
    <w:p w14:paraId="4A5E5257" w14:textId="4184107B" w:rsidR="001B7BC9" w:rsidRPr="004C3B93" w:rsidRDefault="001B7BC9"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Ces investissements sont à rapprocher de l’année 2020 avec une activité exceptionnelle qui a pu nécessiter l’investissement dans des moyens roulants, hypothèse qui pourrait être confortée par l’apparition en 2020 de dettes financières (emprunt</w:t>
      </w:r>
      <w:r w:rsidR="009E6BF1">
        <w:rPr>
          <w:rFonts w:ascii="Arial" w:eastAsia="Times New Roman" w:hAnsi="Arial" w:cs="Arial"/>
          <w:bCs/>
          <w:lang w:eastAsia="fr-FR"/>
        </w:rPr>
        <w:t>).</w:t>
      </w:r>
    </w:p>
    <w:p w14:paraId="1F89A6C7" w14:textId="77777777" w:rsidR="001A6227" w:rsidRDefault="001A6227" w:rsidP="001979AE">
      <w:pPr>
        <w:spacing w:line="240" w:lineRule="auto"/>
        <w:jc w:val="both"/>
        <w:rPr>
          <w:rFonts w:ascii="Arial" w:eastAsia="Times New Roman" w:hAnsi="Arial" w:cs="Arial"/>
          <w:bCs/>
          <w:lang w:eastAsia="fr-FR"/>
        </w:rPr>
      </w:pPr>
      <w:r>
        <w:rPr>
          <w:rFonts w:ascii="Arial" w:eastAsia="Times New Roman" w:hAnsi="Arial" w:cs="Arial"/>
          <w:bCs/>
          <w:lang w:eastAsia="fr-FR"/>
        </w:rPr>
        <w:br w:type="page"/>
      </w:r>
    </w:p>
    <w:p w14:paraId="7ECFEB98" w14:textId="77777777" w:rsidR="001B7BC9" w:rsidRPr="001A6227" w:rsidRDefault="001B7BC9" w:rsidP="001979AE">
      <w:pPr>
        <w:spacing w:line="240" w:lineRule="auto"/>
        <w:jc w:val="both"/>
        <w:rPr>
          <w:rFonts w:ascii="Arial" w:eastAsia="Times New Roman" w:hAnsi="Arial" w:cs="Arial"/>
          <w:b/>
          <w:bCs/>
          <w:lang w:eastAsia="fr-FR"/>
        </w:rPr>
      </w:pPr>
      <w:r w:rsidRPr="001A6227">
        <w:rPr>
          <w:rFonts w:ascii="Arial" w:eastAsia="Times New Roman" w:hAnsi="Arial" w:cs="Arial"/>
          <w:b/>
          <w:bCs/>
          <w:lang w:eastAsia="fr-FR"/>
        </w:rPr>
        <w:lastRenderedPageBreak/>
        <w:t>Le BFR</w:t>
      </w:r>
    </w:p>
    <w:p w14:paraId="098E151E" w14:textId="77777777" w:rsidR="001B7BC9" w:rsidRPr="001A6227" w:rsidRDefault="00D6490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Le besoin en fonds de roulement correspond à la partie du cycle d’exploitation qui n’est pas financée par les dettes d’exploitation.</w:t>
      </w:r>
    </w:p>
    <w:p w14:paraId="2ACCCCC8" w14:textId="569D3BDC" w:rsidR="00D6490C" w:rsidRPr="004C3B93" w:rsidRDefault="00D6490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Sur les deux années étudiées, le BFR reste relativement stable (+ 2,32 %). Le besoin provient pour les 2/3 de VMP non liée directement au cycle d’exploitation</w:t>
      </w:r>
      <w:r w:rsidR="00EA7592">
        <w:rPr>
          <w:rFonts w:ascii="Arial" w:eastAsia="Times New Roman" w:hAnsi="Arial" w:cs="Arial"/>
          <w:bCs/>
          <w:lang w:eastAsia="fr-FR"/>
        </w:rPr>
        <w:t>.</w:t>
      </w:r>
    </w:p>
    <w:p w14:paraId="0DD8E6EE" w14:textId="38EF39F5" w:rsidR="00D6490C" w:rsidRPr="001A6227" w:rsidRDefault="00D6490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Les créances clients diminuent légèrement ce qui signifie que l’entreprise gère bien le suivi de ses règlements</w:t>
      </w:r>
      <w:r w:rsidR="00EA7592">
        <w:rPr>
          <w:rFonts w:ascii="Arial" w:eastAsia="Times New Roman" w:hAnsi="Arial" w:cs="Arial"/>
          <w:bCs/>
          <w:lang w:eastAsia="fr-FR"/>
        </w:rPr>
        <w:t>.</w:t>
      </w:r>
    </w:p>
    <w:p w14:paraId="551FFCDF" w14:textId="77777777" w:rsidR="0053501C" w:rsidRPr="001A6227" w:rsidRDefault="0053501C" w:rsidP="001979AE">
      <w:pPr>
        <w:spacing w:line="240" w:lineRule="auto"/>
        <w:jc w:val="both"/>
        <w:rPr>
          <w:rFonts w:ascii="Arial" w:eastAsia="Times New Roman" w:hAnsi="Arial" w:cs="Arial"/>
          <w:b/>
          <w:bCs/>
          <w:lang w:eastAsia="fr-FR"/>
        </w:rPr>
      </w:pPr>
      <w:r w:rsidRPr="001A6227">
        <w:rPr>
          <w:rFonts w:ascii="Arial" w:eastAsia="Times New Roman" w:hAnsi="Arial" w:cs="Arial"/>
          <w:b/>
          <w:bCs/>
          <w:lang w:eastAsia="fr-FR"/>
        </w:rPr>
        <w:t>Trésorerie nette</w:t>
      </w:r>
    </w:p>
    <w:p w14:paraId="4734CAA2" w14:textId="6E3A207A" w:rsidR="0053501C" w:rsidRPr="004C3B93" w:rsidRDefault="0053501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Pour les deux années, le FRNG est supérieur au BFR et dégage une trésorerie nette positive qui présente une augmentation importante (+ 386,78 %).</w:t>
      </w:r>
    </w:p>
    <w:p w14:paraId="4F4E779A" w14:textId="7E9146BF" w:rsidR="0053501C" w:rsidRPr="004C3B93" w:rsidRDefault="0053501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Malgré ces disponibilités confortables l’entreprise présente néanmoins un concours bancaire courant qui peut entrainer des charges d’intérêt</w:t>
      </w:r>
      <w:r w:rsidR="00EA7592">
        <w:rPr>
          <w:rFonts w:ascii="Arial" w:eastAsia="Times New Roman" w:hAnsi="Arial" w:cs="Arial"/>
          <w:bCs/>
          <w:lang w:eastAsia="fr-FR"/>
        </w:rPr>
        <w:t>.</w:t>
      </w:r>
    </w:p>
    <w:p w14:paraId="104F251E" w14:textId="77777777" w:rsidR="0053501C" w:rsidRPr="004C3B93" w:rsidRDefault="0053501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Une réflexion sur la gestion des disponibilités peut s’avérer nécessaire.</w:t>
      </w:r>
    </w:p>
    <w:p w14:paraId="474F9F07" w14:textId="733F6BA5" w:rsidR="0053501C" w:rsidRPr="004C3B93" w:rsidRDefault="0053501C" w:rsidP="001979AE">
      <w:pPr>
        <w:spacing w:line="240" w:lineRule="auto"/>
        <w:jc w:val="both"/>
        <w:rPr>
          <w:rFonts w:ascii="Arial" w:eastAsia="Times New Roman" w:hAnsi="Arial" w:cs="Arial"/>
          <w:bCs/>
          <w:lang w:eastAsia="fr-FR"/>
        </w:rPr>
      </w:pPr>
      <w:r w:rsidRPr="001A6227">
        <w:rPr>
          <w:rFonts w:ascii="Arial" w:eastAsia="Times New Roman" w:hAnsi="Arial" w:cs="Arial"/>
          <w:bCs/>
          <w:lang w:eastAsia="fr-FR"/>
        </w:rPr>
        <w:t>Actuellement l’entreprise dispose en trésorerie d’un montant supérieur au besoin d’investissement à venir (82 000 + 27 000 = 109 000 € = prix d’un ensemble articulé x 2 = 218 000 €)</w:t>
      </w:r>
    </w:p>
    <w:p w14:paraId="5494B30C" w14:textId="77777777" w:rsidR="001B7BC9" w:rsidRPr="001A6227" w:rsidRDefault="001B7BC9" w:rsidP="001979AE">
      <w:pPr>
        <w:spacing w:line="240" w:lineRule="auto"/>
        <w:jc w:val="both"/>
        <w:rPr>
          <w:rFonts w:ascii="Arial" w:eastAsia="Times New Roman" w:hAnsi="Arial" w:cs="Arial"/>
          <w:bCs/>
          <w:lang w:eastAsia="fr-FR"/>
        </w:rPr>
      </w:pPr>
    </w:p>
    <w:p w14:paraId="67A5B597" w14:textId="2899284D" w:rsidR="001B7BC9" w:rsidRPr="004C3B93" w:rsidRDefault="0053501C" w:rsidP="001979AE">
      <w:pPr>
        <w:spacing w:line="240" w:lineRule="auto"/>
        <w:jc w:val="both"/>
        <w:rPr>
          <w:rFonts w:ascii="Arial" w:eastAsia="Times New Roman" w:hAnsi="Arial" w:cs="Arial"/>
          <w:bCs/>
          <w:lang w:eastAsia="fr-FR"/>
        </w:rPr>
      </w:pPr>
      <w:r w:rsidRPr="001A6227">
        <w:rPr>
          <w:rFonts w:ascii="Arial" w:eastAsia="Times New Roman" w:hAnsi="Arial" w:cs="Arial"/>
          <w:b/>
          <w:bCs/>
          <w:lang w:eastAsia="fr-FR"/>
        </w:rPr>
        <w:t xml:space="preserve">M. </w:t>
      </w:r>
      <w:r w:rsidR="003868F9" w:rsidRPr="001A6227">
        <w:rPr>
          <w:rFonts w:ascii="Arial" w:eastAsia="Times New Roman" w:hAnsi="Arial" w:cs="Arial"/>
          <w:b/>
          <w:bCs/>
          <w:lang w:eastAsia="fr-FR"/>
        </w:rPr>
        <w:t>Martin</w:t>
      </w:r>
      <w:r w:rsidRPr="001A6227">
        <w:rPr>
          <w:rFonts w:ascii="Arial" w:eastAsia="Times New Roman" w:hAnsi="Arial" w:cs="Arial"/>
          <w:b/>
          <w:bCs/>
          <w:lang w:eastAsia="fr-FR"/>
        </w:rPr>
        <w:t xml:space="preserve"> peut envisager sereinement cet achat puisque la capacité financière de l’entreprise le permet et qu’il n’aura aucune difficulté à le financer.</w:t>
      </w:r>
    </w:p>
    <w:p w14:paraId="5B3440B7" w14:textId="273FEC5C" w:rsidR="0055480F" w:rsidRDefault="0055480F" w:rsidP="001979AE">
      <w:pPr>
        <w:spacing w:line="240" w:lineRule="auto"/>
        <w:rPr>
          <w:rFonts w:ascii="Arial" w:eastAsia="Times New Roman" w:hAnsi="Arial" w:cs="Arial"/>
          <w:bCs/>
          <w:lang w:eastAsia="fr-FR"/>
        </w:rPr>
      </w:pPr>
    </w:p>
    <w:p w14:paraId="7EA384AB" w14:textId="77777777" w:rsidR="0055480F" w:rsidRDefault="0055480F" w:rsidP="001979AE">
      <w:pPr>
        <w:spacing w:line="240" w:lineRule="auto"/>
        <w:rPr>
          <w:rFonts w:ascii="Arial" w:eastAsia="Times New Roman" w:hAnsi="Arial" w:cs="Arial"/>
          <w:bCs/>
          <w:lang w:eastAsia="fr-FR"/>
        </w:rPr>
      </w:pPr>
    </w:p>
    <w:p w14:paraId="48AE7A38" w14:textId="77777777" w:rsidR="001979AE" w:rsidRPr="001A6227" w:rsidRDefault="001979AE" w:rsidP="000B7CA4">
      <w:pPr>
        <w:rPr>
          <w:rFonts w:ascii="Arial" w:eastAsia="Times New Roman" w:hAnsi="Arial" w:cs="Arial"/>
          <w:bCs/>
          <w:lang w:eastAsia="fr-FR"/>
        </w:rPr>
      </w:pPr>
    </w:p>
    <w:sectPr w:rsidR="001979AE" w:rsidRPr="001A6227" w:rsidSect="000B7CA4">
      <w:footerReference w:type="default" r:id="rId8"/>
      <w:pgSz w:w="11900" w:h="16840"/>
      <w:pgMar w:top="720" w:right="1268"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D392" w14:textId="77777777" w:rsidR="00B30A60" w:rsidRDefault="00B30A60" w:rsidP="004E7C77">
      <w:pPr>
        <w:spacing w:after="0" w:line="240" w:lineRule="auto"/>
      </w:pPr>
      <w:r>
        <w:separator/>
      </w:r>
    </w:p>
  </w:endnote>
  <w:endnote w:type="continuationSeparator" w:id="0">
    <w:p w14:paraId="0D6F0BD8" w14:textId="77777777" w:rsidR="00B30A60" w:rsidRDefault="00B30A60" w:rsidP="004E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F4AF" w14:textId="272496AC" w:rsidR="00381FF7" w:rsidRPr="00CF1DEC" w:rsidRDefault="00FA244F" w:rsidP="00381FF7">
    <w:pPr>
      <w:pStyle w:val="Pieddepage"/>
      <w:tabs>
        <w:tab w:val="clear" w:pos="9072"/>
        <w:tab w:val="right" w:pos="10204"/>
      </w:tabs>
      <w:ind w:left="-567"/>
      <w:rPr>
        <w:rStyle w:val="Numrodepage"/>
        <w:rFonts w:ascii="Arial" w:hAnsi="Arial"/>
        <w:bCs/>
        <w:sz w:val="20"/>
        <w:szCs w:val="20"/>
      </w:rPr>
    </w:pPr>
    <w:r>
      <w:rPr>
        <w:rFonts w:ascii="Arial" w:hAnsi="Arial"/>
        <w:bCs/>
        <w:sz w:val="20"/>
        <w:szCs w:val="20"/>
      </w:rPr>
      <w:t>21 GTLA5B COR</w:t>
    </w:r>
    <w:r w:rsidRPr="00CF1DEC">
      <w:rPr>
        <w:rFonts w:ascii="Arial" w:hAnsi="Arial"/>
        <w:bCs/>
        <w:sz w:val="20"/>
        <w:szCs w:val="20"/>
      </w:rPr>
      <w:tab/>
      <w:t xml:space="preserve">BTS </w:t>
    </w:r>
    <w:r>
      <w:rPr>
        <w:rFonts w:ascii="Arial" w:hAnsi="Arial"/>
        <w:bCs/>
        <w:sz w:val="20"/>
        <w:szCs w:val="20"/>
      </w:rPr>
      <w:t xml:space="preserve">GESTION DES </w:t>
    </w:r>
    <w:r w:rsidRPr="00CF1DEC">
      <w:rPr>
        <w:rFonts w:ascii="Arial" w:hAnsi="Arial"/>
        <w:bCs/>
        <w:sz w:val="20"/>
        <w:szCs w:val="20"/>
      </w:rPr>
      <w:t>TRANSPORT</w:t>
    </w:r>
    <w:r>
      <w:rPr>
        <w:rFonts w:ascii="Arial" w:hAnsi="Arial"/>
        <w:bCs/>
        <w:sz w:val="20"/>
        <w:szCs w:val="20"/>
      </w:rPr>
      <w:t>S</w:t>
    </w:r>
    <w:r w:rsidRPr="00CF1DEC">
      <w:rPr>
        <w:rFonts w:ascii="Arial" w:hAnsi="Arial"/>
        <w:bCs/>
        <w:sz w:val="20"/>
        <w:szCs w:val="20"/>
      </w:rPr>
      <w:t xml:space="preserve"> ET </w:t>
    </w:r>
    <w:r>
      <w:rPr>
        <w:rFonts w:ascii="Arial" w:hAnsi="Arial"/>
        <w:bCs/>
        <w:sz w:val="20"/>
        <w:szCs w:val="20"/>
      </w:rPr>
      <w:t>LOGISTIQUE ASSOCIÉE</w:t>
    </w:r>
    <w:r w:rsidRPr="00CF1DEC">
      <w:rPr>
        <w:rFonts w:ascii="Arial" w:hAnsi="Arial"/>
        <w:bCs/>
        <w:sz w:val="20"/>
        <w:szCs w:val="20"/>
      </w:rPr>
      <w:tab/>
      <w:t xml:space="preserve">page </w:t>
    </w:r>
    <w:r w:rsidR="00246074" w:rsidRPr="00CF1DEC">
      <w:rPr>
        <w:rStyle w:val="Numrodepage"/>
        <w:rFonts w:ascii="Arial" w:hAnsi="Arial"/>
        <w:bCs/>
        <w:sz w:val="20"/>
        <w:szCs w:val="20"/>
      </w:rPr>
      <w:fldChar w:fldCharType="begin"/>
    </w:r>
    <w:r w:rsidRPr="00CF1DEC">
      <w:rPr>
        <w:rStyle w:val="Numrodepage"/>
        <w:rFonts w:ascii="Arial" w:hAnsi="Arial"/>
        <w:bCs/>
        <w:sz w:val="20"/>
        <w:szCs w:val="20"/>
      </w:rPr>
      <w:instrText xml:space="preserve"> PAGE </w:instrText>
    </w:r>
    <w:r w:rsidR="00246074" w:rsidRPr="00CF1DEC">
      <w:rPr>
        <w:rStyle w:val="Numrodepage"/>
        <w:rFonts w:ascii="Arial" w:hAnsi="Arial"/>
        <w:bCs/>
        <w:sz w:val="20"/>
        <w:szCs w:val="20"/>
      </w:rPr>
      <w:fldChar w:fldCharType="separate"/>
    </w:r>
    <w:r w:rsidR="00FA1767">
      <w:rPr>
        <w:rStyle w:val="Numrodepage"/>
        <w:rFonts w:ascii="Arial" w:hAnsi="Arial"/>
        <w:bCs/>
        <w:noProof/>
        <w:sz w:val="20"/>
        <w:szCs w:val="20"/>
      </w:rPr>
      <w:t>11</w:t>
    </w:r>
    <w:r w:rsidR="00246074" w:rsidRPr="00CF1DEC">
      <w:rPr>
        <w:rStyle w:val="Numrodepage"/>
        <w:rFonts w:ascii="Arial" w:hAnsi="Arial"/>
        <w:bCs/>
        <w:sz w:val="20"/>
        <w:szCs w:val="20"/>
      </w:rPr>
      <w:fldChar w:fldCharType="end"/>
    </w:r>
    <w:r w:rsidRPr="00CF1DEC">
      <w:rPr>
        <w:rStyle w:val="Numrodepage"/>
        <w:rFonts w:ascii="Arial" w:hAnsi="Arial"/>
        <w:bCs/>
        <w:sz w:val="20"/>
        <w:szCs w:val="20"/>
      </w:rPr>
      <w:t>/</w:t>
    </w:r>
    <w:r w:rsidR="00381FF7">
      <w:rPr>
        <w:rStyle w:val="Numrodepage"/>
        <w:rFonts w:ascii="Arial" w:hAnsi="Arial"/>
        <w:bCs/>
        <w:sz w:val="20"/>
        <w:szCs w:val="20"/>
      </w:rPr>
      <w:t>9</w:t>
    </w:r>
  </w:p>
  <w:p w14:paraId="6B32690A" w14:textId="77777777" w:rsidR="00413818" w:rsidRPr="003837D0" w:rsidRDefault="00FA244F" w:rsidP="003837D0">
    <w:pPr>
      <w:pStyle w:val="Pieddepage"/>
      <w:jc w:val="center"/>
      <w:rPr>
        <w:rFonts w:ascii="Arial" w:hAnsi="Arial" w:cs="Times New Roman"/>
        <w:bCs/>
        <w:sz w:val="20"/>
        <w:szCs w:val="20"/>
      </w:rPr>
    </w:pPr>
    <w:r>
      <w:rPr>
        <w:rStyle w:val="Numrodepage"/>
        <w:rFonts w:ascii="Arial" w:hAnsi="Arial"/>
        <w:bCs/>
        <w:sz w:val="20"/>
        <w:szCs w:val="20"/>
      </w:rPr>
      <w:t>Analyse de la performance d’une activité</w:t>
    </w:r>
    <w:r w:rsidRPr="00CF1DEC">
      <w:rPr>
        <w:rStyle w:val="Numrodepage"/>
        <w:rFonts w:ascii="Arial" w:hAnsi="Arial"/>
        <w:bCs/>
        <w:sz w:val="20"/>
        <w:szCs w:val="20"/>
      </w:rPr>
      <w:t xml:space="preserve"> de transport et de prestations logistiques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6ADC" w14:textId="77777777" w:rsidR="00B30A60" w:rsidRDefault="00B30A60" w:rsidP="004E7C77">
      <w:pPr>
        <w:spacing w:after="0" w:line="240" w:lineRule="auto"/>
      </w:pPr>
      <w:r>
        <w:separator/>
      </w:r>
    </w:p>
  </w:footnote>
  <w:footnote w:type="continuationSeparator" w:id="0">
    <w:p w14:paraId="1CC1F353" w14:textId="77777777" w:rsidR="00B30A60" w:rsidRDefault="00B30A60" w:rsidP="004E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FC"/>
    <w:multiLevelType w:val="hybridMultilevel"/>
    <w:tmpl w:val="CA06F90E"/>
    <w:lvl w:ilvl="0" w:tplc="198A167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E568AF"/>
    <w:multiLevelType w:val="hybridMultilevel"/>
    <w:tmpl w:val="926EF9BE"/>
    <w:lvl w:ilvl="0" w:tplc="8B604C4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38017B"/>
    <w:multiLevelType w:val="hybridMultilevel"/>
    <w:tmpl w:val="C7BAC446"/>
    <w:lvl w:ilvl="0" w:tplc="8B604C4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063F7E"/>
    <w:multiLevelType w:val="hybridMultilevel"/>
    <w:tmpl w:val="D908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423977"/>
    <w:multiLevelType w:val="hybridMultilevel"/>
    <w:tmpl w:val="404E4336"/>
    <w:lvl w:ilvl="0" w:tplc="0FFCB16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CB63C7"/>
    <w:multiLevelType w:val="hybridMultilevel"/>
    <w:tmpl w:val="EB465AEE"/>
    <w:lvl w:ilvl="0" w:tplc="8B604C4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1500C3"/>
    <w:multiLevelType w:val="hybridMultilevel"/>
    <w:tmpl w:val="8342F532"/>
    <w:lvl w:ilvl="0" w:tplc="5B02B0F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0E02AB"/>
    <w:multiLevelType w:val="hybridMultilevel"/>
    <w:tmpl w:val="CF38256C"/>
    <w:lvl w:ilvl="0" w:tplc="967A4A4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F570B4"/>
    <w:multiLevelType w:val="hybridMultilevel"/>
    <w:tmpl w:val="61E4D1F8"/>
    <w:lvl w:ilvl="0" w:tplc="0488243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4"/>
  </w:num>
  <w:num w:numId="6">
    <w:abstractNumId w:val="2"/>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F1"/>
    <w:rsid w:val="000712AC"/>
    <w:rsid w:val="000910DE"/>
    <w:rsid w:val="000B4A3B"/>
    <w:rsid w:val="000B7CA4"/>
    <w:rsid w:val="000C663A"/>
    <w:rsid w:val="000D44B3"/>
    <w:rsid w:val="00103620"/>
    <w:rsid w:val="001424B7"/>
    <w:rsid w:val="0014764D"/>
    <w:rsid w:val="00150EB8"/>
    <w:rsid w:val="00195295"/>
    <w:rsid w:val="001979AE"/>
    <w:rsid w:val="001A6227"/>
    <w:rsid w:val="001B7BC9"/>
    <w:rsid w:val="001C23E4"/>
    <w:rsid w:val="001D0DB0"/>
    <w:rsid w:val="001D7E3F"/>
    <w:rsid w:val="00224379"/>
    <w:rsid w:val="00246074"/>
    <w:rsid w:val="00246824"/>
    <w:rsid w:val="002C7688"/>
    <w:rsid w:val="002D5699"/>
    <w:rsid w:val="00300CBF"/>
    <w:rsid w:val="00347097"/>
    <w:rsid w:val="0036292A"/>
    <w:rsid w:val="00381FF7"/>
    <w:rsid w:val="003837D0"/>
    <w:rsid w:val="003868F9"/>
    <w:rsid w:val="003C2C8B"/>
    <w:rsid w:val="003D4AAD"/>
    <w:rsid w:val="003D4DF8"/>
    <w:rsid w:val="00413818"/>
    <w:rsid w:val="00416058"/>
    <w:rsid w:val="004723CE"/>
    <w:rsid w:val="004850DD"/>
    <w:rsid w:val="004C3B93"/>
    <w:rsid w:val="004D5665"/>
    <w:rsid w:val="004D6113"/>
    <w:rsid w:val="004E7C77"/>
    <w:rsid w:val="004F51AC"/>
    <w:rsid w:val="0053501C"/>
    <w:rsid w:val="00537253"/>
    <w:rsid w:val="00550A5D"/>
    <w:rsid w:val="0055480F"/>
    <w:rsid w:val="0057286D"/>
    <w:rsid w:val="005A5DDC"/>
    <w:rsid w:val="006123F2"/>
    <w:rsid w:val="006209E8"/>
    <w:rsid w:val="0063684F"/>
    <w:rsid w:val="00697BA2"/>
    <w:rsid w:val="006C5A75"/>
    <w:rsid w:val="00730C0F"/>
    <w:rsid w:val="00797A2C"/>
    <w:rsid w:val="007C0671"/>
    <w:rsid w:val="007E76DC"/>
    <w:rsid w:val="008142B3"/>
    <w:rsid w:val="0082278C"/>
    <w:rsid w:val="008579A4"/>
    <w:rsid w:val="00876369"/>
    <w:rsid w:val="00894E32"/>
    <w:rsid w:val="008E030F"/>
    <w:rsid w:val="008F7194"/>
    <w:rsid w:val="009076B9"/>
    <w:rsid w:val="009256B0"/>
    <w:rsid w:val="00966F75"/>
    <w:rsid w:val="009711C1"/>
    <w:rsid w:val="009B0C8B"/>
    <w:rsid w:val="009D1C51"/>
    <w:rsid w:val="009D6BA0"/>
    <w:rsid w:val="009E6BF1"/>
    <w:rsid w:val="00A30A10"/>
    <w:rsid w:val="00A8130F"/>
    <w:rsid w:val="00AA74A2"/>
    <w:rsid w:val="00AB0B2A"/>
    <w:rsid w:val="00B14333"/>
    <w:rsid w:val="00B30A60"/>
    <w:rsid w:val="00B4050D"/>
    <w:rsid w:val="00B7231D"/>
    <w:rsid w:val="00B948FF"/>
    <w:rsid w:val="00BA03F1"/>
    <w:rsid w:val="00BE294A"/>
    <w:rsid w:val="00BF19A9"/>
    <w:rsid w:val="00C06526"/>
    <w:rsid w:val="00C8206A"/>
    <w:rsid w:val="00CE57C6"/>
    <w:rsid w:val="00CF44F1"/>
    <w:rsid w:val="00CF6F69"/>
    <w:rsid w:val="00D40D58"/>
    <w:rsid w:val="00D44CAC"/>
    <w:rsid w:val="00D6490C"/>
    <w:rsid w:val="00D702CB"/>
    <w:rsid w:val="00D74A88"/>
    <w:rsid w:val="00D95412"/>
    <w:rsid w:val="00DE385A"/>
    <w:rsid w:val="00DE51D6"/>
    <w:rsid w:val="00E669F7"/>
    <w:rsid w:val="00E90C67"/>
    <w:rsid w:val="00EA0E80"/>
    <w:rsid w:val="00EA7592"/>
    <w:rsid w:val="00ED719A"/>
    <w:rsid w:val="00EF1D5E"/>
    <w:rsid w:val="00EF688B"/>
    <w:rsid w:val="00F00123"/>
    <w:rsid w:val="00F152CC"/>
    <w:rsid w:val="00F329C5"/>
    <w:rsid w:val="00F64A25"/>
    <w:rsid w:val="00F91D97"/>
    <w:rsid w:val="00FA109E"/>
    <w:rsid w:val="00FA1767"/>
    <w:rsid w:val="00FA244F"/>
    <w:rsid w:val="00FB269C"/>
    <w:rsid w:val="00FD16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C787EB"/>
  <w15:docId w15:val="{3EFC70DC-9403-483F-95EF-1FF2F32B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3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03F1"/>
    <w:pPr>
      <w:spacing w:after="0" w:line="276" w:lineRule="auto"/>
      <w:ind w:left="720"/>
      <w:contextualSpacing/>
      <w:jc w:val="both"/>
    </w:pPr>
    <w:rPr>
      <w:rFonts w:ascii="Calibri" w:eastAsia="Calibri" w:hAnsi="Calibri" w:cs="Times New Roman"/>
    </w:rPr>
  </w:style>
  <w:style w:type="paragraph" w:styleId="En-tte">
    <w:name w:val="header"/>
    <w:basedOn w:val="Normal"/>
    <w:link w:val="En-tteCar"/>
    <w:uiPriority w:val="99"/>
    <w:unhideWhenUsed/>
    <w:rsid w:val="004E7C77"/>
    <w:pPr>
      <w:tabs>
        <w:tab w:val="center" w:pos="4536"/>
        <w:tab w:val="right" w:pos="9072"/>
      </w:tabs>
      <w:spacing w:after="0" w:line="240" w:lineRule="auto"/>
    </w:pPr>
  </w:style>
  <w:style w:type="character" w:customStyle="1" w:styleId="En-tteCar">
    <w:name w:val="En-tête Car"/>
    <w:basedOn w:val="Policepardfaut"/>
    <w:link w:val="En-tte"/>
    <w:uiPriority w:val="99"/>
    <w:rsid w:val="004E7C77"/>
  </w:style>
  <w:style w:type="paragraph" w:styleId="Pieddepage">
    <w:name w:val="footer"/>
    <w:basedOn w:val="Normal"/>
    <w:link w:val="PieddepageCar"/>
    <w:uiPriority w:val="99"/>
    <w:unhideWhenUsed/>
    <w:rsid w:val="004E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7C77"/>
  </w:style>
  <w:style w:type="table" w:styleId="Grilledutableau">
    <w:name w:val="Table Grid"/>
    <w:basedOn w:val="TableauNormal"/>
    <w:uiPriority w:val="59"/>
    <w:rsid w:val="007E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4A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4A25"/>
    <w:rPr>
      <w:rFonts w:ascii="Segoe UI" w:hAnsi="Segoe UI" w:cs="Segoe UI"/>
      <w:sz w:val="18"/>
      <w:szCs w:val="18"/>
    </w:rPr>
  </w:style>
  <w:style w:type="character" w:styleId="Numrodepage">
    <w:name w:val="page number"/>
    <w:uiPriority w:val="99"/>
    <w:rsid w:val="00FA244F"/>
    <w:rPr>
      <w:rFonts w:cs="Times New Roman"/>
    </w:rPr>
  </w:style>
  <w:style w:type="paragraph" w:customStyle="1" w:styleId="Default">
    <w:name w:val="Default"/>
    <w:rsid w:val="00EF1D5E"/>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8AE0-C736-4612-B84E-733078F2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2292</Words>
  <Characters>12606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Formation4</dc:creator>
  <cp:lastModifiedBy>jm SENAC</cp:lastModifiedBy>
  <cp:revision>7</cp:revision>
  <cp:lastPrinted>2021-01-19T12:23:00Z</cp:lastPrinted>
  <dcterms:created xsi:type="dcterms:W3CDTF">2021-06-25T09:19:00Z</dcterms:created>
  <dcterms:modified xsi:type="dcterms:W3CDTF">2021-09-23T19:23:00Z</dcterms:modified>
</cp:coreProperties>
</file>