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3F1B" w14:textId="791BABC2" w:rsidR="00F35C1F" w:rsidRDefault="00206267" w:rsidP="00F35C1F">
      <w:pPr>
        <w:pStyle w:val="Titre1"/>
        <w:jc w:val="left"/>
      </w:pPr>
      <w:r>
        <w:rPr>
          <w:noProof/>
          <w:lang w:eastAsia="fr-FR"/>
        </w:rPr>
        <w:pict w14:anchorId="2FFB9C6D">
          <v:group id="_x0000_s1035" style="position:absolute;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r w:rsidR="00F35C1F">
        <w:t xml:space="preserve">Chapitre 5 : Le processus d’investissement </w:t>
      </w:r>
    </w:p>
    <w:p w14:paraId="4D92DA4F" w14:textId="77777777" w:rsidR="00F35C1F" w:rsidRDefault="00F35C1F" w:rsidP="00F35C1F"/>
    <w:p w14:paraId="77EAE20C" w14:textId="14A9CEA1" w:rsidR="00F35C1F" w:rsidRDefault="00F35C1F" w:rsidP="00F35C1F">
      <w:r>
        <w:t>L’investissement est une opération de nature stratégique à long terme qui nécessite une réflexion préalable importante. L’investissement est l’acquisition d’une immobilisation</w:t>
      </w:r>
      <w:r>
        <w:t>.</w:t>
      </w:r>
    </w:p>
    <w:p w14:paraId="5168B4D4" w14:textId="77777777" w:rsidR="00F35C1F" w:rsidRDefault="00F35C1F" w:rsidP="00F35C1F"/>
    <w:p w14:paraId="08EECE4A" w14:textId="1DD5D5AB" w:rsidR="00F35C1F" w:rsidRPr="00C92E16" w:rsidRDefault="00F35C1F" w:rsidP="00F35C1F">
      <w:pPr>
        <w:pStyle w:val="Titre2"/>
      </w:pPr>
      <w:r w:rsidRPr="00C92E16">
        <w:t xml:space="preserve">Les </w:t>
      </w:r>
      <w:r>
        <w:t xml:space="preserve">caractéristiques d’une </w:t>
      </w:r>
      <w:r w:rsidRPr="00C92E16">
        <w:t>immobilisation</w:t>
      </w:r>
    </w:p>
    <w:p w14:paraId="485FA397" w14:textId="4AB3DC6F" w:rsidR="00F35C1F" w:rsidRDefault="00F35C1F" w:rsidP="00F35C1F">
      <w:r>
        <w:t xml:space="preserve">Quatre éléments permettent de définir une immobilisation. Si </w:t>
      </w:r>
      <w:r>
        <w:t>l’</w:t>
      </w:r>
      <w:r>
        <w:t xml:space="preserve">un de ces </w:t>
      </w:r>
      <w:r>
        <w:t>quatre</w:t>
      </w:r>
      <w:r>
        <w:t xml:space="preserve"> critères n’est pas respecté, le bien acheté pourra être considéré comme une charge.</w:t>
      </w:r>
    </w:p>
    <w:p w14:paraId="3159249C" w14:textId="77777777" w:rsidR="00F35C1F" w:rsidRPr="0084096E" w:rsidRDefault="00F35C1F" w:rsidP="00F35C1F">
      <w:pPr>
        <w:pStyle w:val="Titre3"/>
      </w:pPr>
      <w:r w:rsidRPr="0084096E">
        <w:t>Le critère de la durée de détention du bien</w:t>
      </w:r>
    </w:p>
    <w:p w14:paraId="43DE36FC" w14:textId="3D75E0BC" w:rsidR="00F35C1F" w:rsidRDefault="00F35C1F" w:rsidP="00F35C1F">
      <w:r>
        <w:t>Une immobilisation est un bien que l’entreprise (ou de façon plus générale</w:t>
      </w:r>
      <w:r>
        <w:t xml:space="preserve"> une </w:t>
      </w:r>
      <w:r>
        <w:t>association</w:t>
      </w:r>
      <w:r>
        <w:t xml:space="preserve">, une </w:t>
      </w:r>
      <w:r>
        <w:t>organisation publique…) gardera lon</w:t>
      </w:r>
      <w:r>
        <w:t>g</w:t>
      </w:r>
      <w:r>
        <w:t>temps après son acquisition.</w:t>
      </w:r>
    </w:p>
    <w:p w14:paraId="3EF031DF" w14:textId="77777777" w:rsidR="00F35C1F" w:rsidRDefault="00F35C1F" w:rsidP="00F35C1F">
      <w:r>
        <w:t>Une durée de détention minimale de 2 ans est la durée admise pour considérer le bien comme une immobilisation.</w:t>
      </w:r>
    </w:p>
    <w:p w14:paraId="1FB60710" w14:textId="77777777" w:rsidR="00F35C1F" w:rsidRPr="0084096E" w:rsidRDefault="00F35C1F" w:rsidP="00F35C1F">
      <w:pPr>
        <w:pStyle w:val="Titre3"/>
      </w:pPr>
      <w:r w:rsidRPr="0084096E">
        <w:t>Le critère de la propriété</w:t>
      </w:r>
    </w:p>
    <w:p w14:paraId="2539BC7E" w14:textId="77777777" w:rsidR="00F35C1F" w:rsidRDefault="00F35C1F" w:rsidP="00F35C1F">
      <w:r>
        <w:t>Il est indispensable que le bien appartienne à l’entreprise. En effet, si l’entreprise loue le bien (formule de location classique ou location en crédit-bail), celui-ci n’est pas la propriété de l’entreprise. Il ne peut donc pas entrer dans son patrimoine.</w:t>
      </w:r>
    </w:p>
    <w:p w14:paraId="3300F2C9" w14:textId="77777777" w:rsidR="00F35C1F" w:rsidRPr="0084096E" w:rsidRDefault="00F35C1F" w:rsidP="00F35C1F">
      <w:pPr>
        <w:pStyle w:val="Titre3"/>
      </w:pPr>
      <w:r w:rsidRPr="0084096E">
        <w:t>Le critère des avantages obtenus</w:t>
      </w:r>
    </w:p>
    <w:p w14:paraId="466EC7A9" w14:textId="711C6C22" w:rsidR="00F35C1F" w:rsidRDefault="00F35C1F" w:rsidP="00F35C1F">
      <w:r>
        <w:t>L’entreprise souhaite retirer des avantages économiques futurs</w:t>
      </w:r>
      <w:r w:rsidRPr="00BC1C35">
        <w:t xml:space="preserve"> </w:t>
      </w:r>
      <w:r>
        <w:t>de ses projets d’investissement. Avant de se lancer dans le projet, la phase d’étude de rentabilité de la future immobilisation est primordiale.</w:t>
      </w:r>
    </w:p>
    <w:p w14:paraId="22EE728B" w14:textId="77777777" w:rsidR="00F35C1F" w:rsidRPr="0084096E" w:rsidRDefault="00F35C1F" w:rsidP="00F35C1F">
      <w:pPr>
        <w:pStyle w:val="Titre3"/>
      </w:pPr>
      <w:r w:rsidRPr="0084096E">
        <w:t>Le critère de la valeur unitaire du bien</w:t>
      </w:r>
    </w:p>
    <w:p w14:paraId="30ACF14C" w14:textId="2AFCFCB9" w:rsidR="00F35C1F" w:rsidRDefault="00F35C1F" w:rsidP="00F35C1F">
      <w:r>
        <w:t>En général, un projet d’investissement requiert des fonds importants. Une immobilisation est donc un bien dont le coût d’acquisition est important. La limite est fixée à 500</w:t>
      </w:r>
      <w:r w:rsidR="00986690">
        <w:t> </w:t>
      </w:r>
      <w:r>
        <w:t xml:space="preserve">€ HT. Cela signifie que si le bien acheté a une valeur unitaire HT de moins de 500 €, il </w:t>
      </w:r>
      <w:r w:rsidR="00986690">
        <w:t>sera</w:t>
      </w:r>
      <w:r>
        <w:t xml:space="preserve"> enregistré comme une charge et non comme une immobilisation.</w:t>
      </w:r>
    </w:p>
    <w:p w14:paraId="75B1D04A" w14:textId="77777777" w:rsidR="00F35C1F" w:rsidRDefault="00F35C1F" w:rsidP="00F35C1F">
      <w:pPr>
        <w:pStyle w:val="Paragraphedeliste"/>
        <w:ind w:left="0"/>
      </w:pPr>
    </w:p>
    <w:p w14:paraId="4190A55D" w14:textId="613D0F65" w:rsidR="00F35C1F" w:rsidRPr="00C977EA" w:rsidRDefault="00F35C1F" w:rsidP="00986690">
      <w:pPr>
        <w:pStyle w:val="Titre2"/>
      </w:pPr>
      <w:r w:rsidRPr="00C977EA">
        <w:t>Le cycle de vie de l’immobilisation</w:t>
      </w:r>
    </w:p>
    <w:p w14:paraId="6524ABA3" w14:textId="1E6307AB" w:rsidR="00F35C1F" w:rsidRDefault="00F35C1F" w:rsidP="00986690">
      <w:r>
        <w:t>Ce cycle débute lors de l’acquisition du bien qui présente les quatre caractéristiques</w:t>
      </w:r>
      <w:r w:rsidR="00986690">
        <w:t xml:space="preserve"> précédemment citées,</w:t>
      </w:r>
      <w:r>
        <w:t xml:space="preserve"> et s’achève lors de sa cession après que l’entreprise l’a utilisée pendant sa durée de vie.</w:t>
      </w:r>
    </w:p>
    <w:p w14:paraId="4AD977A9" w14:textId="77777777" w:rsidR="00F35C1F" w:rsidRPr="0084096E" w:rsidRDefault="00F35C1F" w:rsidP="00986690">
      <w:pPr>
        <w:pStyle w:val="Titre3"/>
      </w:pPr>
      <w:r w:rsidRPr="0084096E">
        <w:t>L’acquisition de l’immobilisation (ou l‘investissement)</w:t>
      </w:r>
    </w:p>
    <w:p w14:paraId="13D07A5F" w14:textId="77777777" w:rsidR="00F35C1F" w:rsidRDefault="00F35C1F" w:rsidP="00986690">
      <w:r>
        <w:t xml:space="preserve">Cette acquisition marque l’entrée de l’immobilisation dans le patrimoine de l’entreprise. </w:t>
      </w:r>
    </w:p>
    <w:p w14:paraId="3FF3382C" w14:textId="77777777" w:rsidR="00F35C1F" w:rsidRPr="0084096E" w:rsidRDefault="00F35C1F" w:rsidP="00986690">
      <w:pPr>
        <w:pStyle w:val="Titre4"/>
      </w:pPr>
      <w:r w:rsidRPr="0084096E">
        <w:t>La valeur d’acquisition de l’immobilisation</w:t>
      </w:r>
    </w:p>
    <w:p w14:paraId="6245F5D7" w14:textId="5084C17F" w:rsidR="00F35C1F" w:rsidRDefault="00F35C1F" w:rsidP="00986690">
      <w:r>
        <w:t>L’immobilisation doit être valorisée à son coût d’acquisition pour entrer dans le patrimoine.</w:t>
      </w:r>
      <w:r w:rsidR="00986690">
        <w:t xml:space="preserve"> </w:t>
      </w:r>
      <w:r>
        <w:t>Ce coût d’acquisition comprend</w:t>
      </w:r>
      <w:r w:rsidR="00986690">
        <w:t> :</w:t>
      </w:r>
    </w:p>
    <w:p w14:paraId="30F52321" w14:textId="35326C09" w:rsidR="00F35C1F" w:rsidRDefault="00986690" w:rsidP="00986690">
      <w:r>
        <w:t xml:space="preserve">- </w:t>
      </w:r>
      <w:r w:rsidR="00F35C1F">
        <w:t>le prix payé au fournisseur après déduction d’éventuelles réductions (commerciales et/ou financières)</w:t>
      </w:r>
      <w:r>
        <w:t> ;</w:t>
      </w:r>
    </w:p>
    <w:p w14:paraId="475183A7" w14:textId="77777777" w:rsidR="00F35C1F" w:rsidRDefault="00F35C1F" w:rsidP="00986690">
      <w:r>
        <w:t xml:space="preserve">- les frais de livraison et d’installation du fait que l’immobilisation doit être utilisable dans l’entreprise. </w:t>
      </w:r>
    </w:p>
    <w:p w14:paraId="1D346F44" w14:textId="77777777" w:rsidR="00F35C1F" w:rsidRDefault="00F35C1F" w:rsidP="00986690">
      <w:r>
        <w:t>Le prix d’achat et les frais accessoires sont pris pour leur montant HT.</w:t>
      </w:r>
    </w:p>
    <w:p w14:paraId="75F81327" w14:textId="1E774754" w:rsidR="00F35C1F" w:rsidRDefault="00F35C1F" w:rsidP="00986690">
      <w:r>
        <w:t>Il existe toutefois une exception : le coût d’acquisition d’un véhicule de tourisme est à prendre pour le montant TTC. En effet, l’administration fiscale n’admet pas la déductibilité de la TVA sur ce type de bien. Cela implique donc que la TVA augmente le coût d’acquisition.</w:t>
      </w:r>
    </w:p>
    <w:p w14:paraId="4903A2E6" w14:textId="77777777" w:rsidR="00F35C1F" w:rsidRDefault="00F35C1F" w:rsidP="00986690">
      <w:pPr>
        <w:pStyle w:val="Titre4"/>
      </w:pPr>
      <w:r w:rsidRPr="0084096E">
        <w:t>L’enregistrement comptable de l’investissement</w:t>
      </w:r>
    </w:p>
    <w:tbl>
      <w:tblPr>
        <w:tblStyle w:val="Grilledutableau"/>
        <w:tblW w:w="0" w:type="auto"/>
        <w:tblLook w:val="04A0" w:firstRow="1" w:lastRow="0" w:firstColumn="1" w:lastColumn="0" w:noHBand="0" w:noVBand="1"/>
      </w:tblPr>
      <w:tblGrid>
        <w:gridCol w:w="1271"/>
        <w:gridCol w:w="4111"/>
        <w:gridCol w:w="1839"/>
        <w:gridCol w:w="1839"/>
      </w:tblGrid>
      <w:tr w:rsidR="00F35C1F" w14:paraId="0B33771F" w14:textId="77777777" w:rsidTr="00FE379C">
        <w:tc>
          <w:tcPr>
            <w:tcW w:w="1271" w:type="dxa"/>
            <w:vMerge w:val="restart"/>
          </w:tcPr>
          <w:p w14:paraId="2B8D2267" w14:textId="77777777" w:rsidR="00F35C1F" w:rsidRDefault="00F35C1F" w:rsidP="00FE379C"/>
          <w:p w14:paraId="606DA2E1" w14:textId="77777777" w:rsidR="00F35C1F" w:rsidRDefault="00F35C1F" w:rsidP="00FE379C">
            <w:pPr>
              <w:jc w:val="center"/>
            </w:pPr>
            <w:r w:rsidRPr="0084096E">
              <w:t>21</w:t>
            </w:r>
          </w:p>
          <w:p w14:paraId="690E8D4B" w14:textId="77777777" w:rsidR="00F35C1F" w:rsidRDefault="00F35C1F" w:rsidP="00FE379C">
            <w:pPr>
              <w:jc w:val="center"/>
            </w:pPr>
            <w:r>
              <w:t>44562</w:t>
            </w:r>
          </w:p>
          <w:p w14:paraId="6E4F643D" w14:textId="77777777" w:rsidR="00F35C1F" w:rsidRPr="0084096E" w:rsidRDefault="00F35C1F" w:rsidP="00FE379C">
            <w:pPr>
              <w:jc w:val="right"/>
            </w:pPr>
            <w:r>
              <w:t>404</w:t>
            </w:r>
          </w:p>
        </w:tc>
        <w:tc>
          <w:tcPr>
            <w:tcW w:w="4111" w:type="dxa"/>
            <w:tcBorders>
              <w:bottom w:val="nil"/>
            </w:tcBorders>
          </w:tcPr>
          <w:p w14:paraId="76C56ADF" w14:textId="77777777" w:rsidR="00F35C1F" w:rsidRPr="00BC1C35" w:rsidRDefault="00F35C1F" w:rsidP="00FE379C">
            <w:pPr>
              <w:jc w:val="center"/>
              <w:rPr>
                <w:i/>
                <w:iCs/>
              </w:rPr>
            </w:pPr>
            <w:r w:rsidRPr="00BC1C35">
              <w:rPr>
                <w:i/>
                <w:iCs/>
              </w:rPr>
              <w:t>Date</w:t>
            </w:r>
          </w:p>
        </w:tc>
        <w:tc>
          <w:tcPr>
            <w:tcW w:w="1839" w:type="dxa"/>
            <w:vMerge w:val="restart"/>
          </w:tcPr>
          <w:p w14:paraId="0EA1F0D0" w14:textId="77777777" w:rsidR="00F35C1F" w:rsidRDefault="00F35C1F" w:rsidP="00FE379C">
            <w:pPr>
              <w:jc w:val="center"/>
            </w:pPr>
          </w:p>
          <w:p w14:paraId="75A02284" w14:textId="77777777" w:rsidR="00F35C1F" w:rsidRDefault="00F35C1F" w:rsidP="00FE379C">
            <w:pPr>
              <w:jc w:val="center"/>
            </w:pPr>
            <w:r>
              <w:t>Montant HT</w:t>
            </w:r>
          </w:p>
          <w:p w14:paraId="1B5922AF" w14:textId="77777777" w:rsidR="00F35C1F" w:rsidRPr="0084096E" w:rsidRDefault="00F35C1F" w:rsidP="00FE379C">
            <w:pPr>
              <w:jc w:val="center"/>
            </w:pPr>
            <w:r>
              <w:t>Montant de TVA</w:t>
            </w:r>
          </w:p>
        </w:tc>
        <w:tc>
          <w:tcPr>
            <w:tcW w:w="1839" w:type="dxa"/>
            <w:vMerge w:val="restart"/>
          </w:tcPr>
          <w:p w14:paraId="45944973" w14:textId="77777777" w:rsidR="00F35C1F" w:rsidRDefault="00F35C1F" w:rsidP="00FE379C">
            <w:pPr>
              <w:jc w:val="center"/>
            </w:pPr>
          </w:p>
          <w:p w14:paraId="64D28B41" w14:textId="77777777" w:rsidR="00F35C1F" w:rsidRDefault="00F35C1F" w:rsidP="00FE379C">
            <w:pPr>
              <w:jc w:val="center"/>
            </w:pPr>
          </w:p>
          <w:p w14:paraId="7C352B94" w14:textId="77777777" w:rsidR="00F35C1F" w:rsidRDefault="00F35C1F" w:rsidP="00FE379C">
            <w:pPr>
              <w:jc w:val="center"/>
            </w:pPr>
          </w:p>
          <w:p w14:paraId="1ED5CD58" w14:textId="77777777" w:rsidR="00F35C1F" w:rsidRPr="0084096E" w:rsidRDefault="00F35C1F" w:rsidP="00FE379C">
            <w:pPr>
              <w:jc w:val="center"/>
            </w:pPr>
            <w:r>
              <w:t>Montant TTC</w:t>
            </w:r>
          </w:p>
        </w:tc>
      </w:tr>
      <w:tr w:rsidR="00F35C1F" w14:paraId="2229A826" w14:textId="77777777" w:rsidTr="00FE379C">
        <w:tc>
          <w:tcPr>
            <w:tcW w:w="1271" w:type="dxa"/>
            <w:vMerge/>
          </w:tcPr>
          <w:p w14:paraId="506DA50C" w14:textId="77777777" w:rsidR="00F35C1F" w:rsidRPr="0084096E" w:rsidRDefault="00F35C1F" w:rsidP="00FE379C">
            <w:pPr>
              <w:jc w:val="right"/>
            </w:pPr>
          </w:p>
        </w:tc>
        <w:tc>
          <w:tcPr>
            <w:tcW w:w="4111" w:type="dxa"/>
            <w:tcBorders>
              <w:top w:val="nil"/>
            </w:tcBorders>
          </w:tcPr>
          <w:p w14:paraId="19618D76" w14:textId="77777777" w:rsidR="00F35C1F" w:rsidRDefault="00F35C1F" w:rsidP="00FE379C">
            <w:r>
              <w:t>Immobilisations corporelles</w:t>
            </w:r>
          </w:p>
          <w:p w14:paraId="4E7CA203" w14:textId="28D9DF7B" w:rsidR="00F35C1F" w:rsidRDefault="00986690" w:rsidP="00FE379C">
            <w:r>
              <w:t>É</w:t>
            </w:r>
            <w:r w:rsidR="00F35C1F">
              <w:t>tat TVA déductible sur immobilisations</w:t>
            </w:r>
          </w:p>
          <w:p w14:paraId="1E602522" w14:textId="77777777" w:rsidR="00F35C1F" w:rsidRDefault="00F35C1F" w:rsidP="00FE379C">
            <w:pPr>
              <w:jc w:val="right"/>
            </w:pPr>
            <w:r>
              <w:t>Fournisseurs d’immobilisations</w:t>
            </w:r>
          </w:p>
          <w:p w14:paraId="697D4D3C" w14:textId="77777777" w:rsidR="00F35C1F" w:rsidRPr="0084096E" w:rsidRDefault="00F35C1F" w:rsidP="00FE379C">
            <w:pPr>
              <w:jc w:val="center"/>
            </w:pPr>
            <w:r>
              <w:t>(Facture n° ……)</w:t>
            </w:r>
          </w:p>
        </w:tc>
        <w:tc>
          <w:tcPr>
            <w:tcW w:w="1839" w:type="dxa"/>
            <w:vMerge/>
          </w:tcPr>
          <w:p w14:paraId="0708E65E" w14:textId="77777777" w:rsidR="00F35C1F" w:rsidRPr="0084096E" w:rsidRDefault="00F35C1F" w:rsidP="00FE379C">
            <w:pPr>
              <w:jc w:val="center"/>
            </w:pPr>
          </w:p>
        </w:tc>
        <w:tc>
          <w:tcPr>
            <w:tcW w:w="1839" w:type="dxa"/>
            <w:vMerge/>
          </w:tcPr>
          <w:p w14:paraId="7B7A6961" w14:textId="77777777" w:rsidR="00F35C1F" w:rsidRPr="0084096E" w:rsidRDefault="00F35C1F" w:rsidP="00FE379C">
            <w:pPr>
              <w:jc w:val="center"/>
            </w:pPr>
          </w:p>
        </w:tc>
      </w:tr>
    </w:tbl>
    <w:p w14:paraId="332481A9" w14:textId="77777777" w:rsidR="00F35C1F" w:rsidRDefault="00F35C1F" w:rsidP="00F35C1F">
      <w:pPr>
        <w:spacing w:after="0"/>
        <w:rPr>
          <w:u w:val="dash"/>
        </w:rPr>
      </w:pPr>
    </w:p>
    <w:p w14:paraId="1A8F11A7" w14:textId="77777777" w:rsidR="00F35C1F" w:rsidRPr="003F384F" w:rsidRDefault="00F35C1F" w:rsidP="00F35C1F">
      <w:pPr>
        <w:spacing w:after="0"/>
      </w:pPr>
      <w:r w:rsidRPr="003F384F">
        <w:t>Pour le cas</w:t>
      </w:r>
      <w:r>
        <w:t xml:space="preserve"> particulier du véhicule de tourisme, l’écriture est la suivante :</w:t>
      </w:r>
    </w:p>
    <w:tbl>
      <w:tblPr>
        <w:tblStyle w:val="Grilledutableau"/>
        <w:tblW w:w="0" w:type="auto"/>
        <w:tblLook w:val="04A0" w:firstRow="1" w:lastRow="0" w:firstColumn="1" w:lastColumn="0" w:noHBand="0" w:noVBand="1"/>
      </w:tblPr>
      <w:tblGrid>
        <w:gridCol w:w="1271"/>
        <w:gridCol w:w="4111"/>
        <w:gridCol w:w="1839"/>
        <w:gridCol w:w="1839"/>
      </w:tblGrid>
      <w:tr w:rsidR="00F35C1F" w14:paraId="295CC12D" w14:textId="77777777" w:rsidTr="00FE379C">
        <w:tc>
          <w:tcPr>
            <w:tcW w:w="1271" w:type="dxa"/>
            <w:vMerge w:val="restart"/>
          </w:tcPr>
          <w:p w14:paraId="7DA504A9" w14:textId="77777777" w:rsidR="00F35C1F" w:rsidRDefault="00F35C1F" w:rsidP="00FE379C"/>
          <w:p w14:paraId="3EB0D529" w14:textId="77777777" w:rsidR="00F35C1F" w:rsidRDefault="00F35C1F" w:rsidP="00FE379C">
            <w:pPr>
              <w:jc w:val="center"/>
            </w:pPr>
            <w:r w:rsidRPr="0084096E">
              <w:t>21</w:t>
            </w:r>
          </w:p>
          <w:p w14:paraId="20EE52D9" w14:textId="77777777" w:rsidR="00F35C1F" w:rsidRPr="0084096E" w:rsidRDefault="00F35C1F" w:rsidP="00FE379C">
            <w:pPr>
              <w:jc w:val="right"/>
            </w:pPr>
            <w:r>
              <w:t>404</w:t>
            </w:r>
          </w:p>
        </w:tc>
        <w:tc>
          <w:tcPr>
            <w:tcW w:w="4111" w:type="dxa"/>
            <w:tcBorders>
              <w:bottom w:val="nil"/>
            </w:tcBorders>
          </w:tcPr>
          <w:p w14:paraId="71ED1736" w14:textId="77777777" w:rsidR="00F35C1F" w:rsidRPr="00BC1C35" w:rsidRDefault="00F35C1F" w:rsidP="00FE379C">
            <w:pPr>
              <w:jc w:val="center"/>
              <w:rPr>
                <w:i/>
                <w:iCs/>
              </w:rPr>
            </w:pPr>
            <w:r w:rsidRPr="00BC1C35">
              <w:rPr>
                <w:i/>
                <w:iCs/>
              </w:rPr>
              <w:t>Date</w:t>
            </w:r>
          </w:p>
        </w:tc>
        <w:tc>
          <w:tcPr>
            <w:tcW w:w="1839" w:type="dxa"/>
            <w:vMerge w:val="restart"/>
          </w:tcPr>
          <w:p w14:paraId="2FA05E4A" w14:textId="77777777" w:rsidR="00F35C1F" w:rsidRDefault="00F35C1F" w:rsidP="00FE379C">
            <w:pPr>
              <w:jc w:val="center"/>
            </w:pPr>
          </w:p>
          <w:p w14:paraId="364E1779" w14:textId="77777777" w:rsidR="00F35C1F" w:rsidRDefault="00F35C1F" w:rsidP="00FE379C">
            <w:pPr>
              <w:jc w:val="center"/>
            </w:pPr>
            <w:r>
              <w:t>Montant TTC</w:t>
            </w:r>
          </w:p>
          <w:p w14:paraId="6CE74795" w14:textId="77777777" w:rsidR="00F35C1F" w:rsidRPr="0084096E" w:rsidRDefault="00F35C1F" w:rsidP="00FE379C">
            <w:pPr>
              <w:jc w:val="center"/>
            </w:pPr>
          </w:p>
        </w:tc>
        <w:tc>
          <w:tcPr>
            <w:tcW w:w="1839" w:type="dxa"/>
            <w:vMerge w:val="restart"/>
          </w:tcPr>
          <w:p w14:paraId="7FB21C08" w14:textId="77777777" w:rsidR="00F35C1F" w:rsidRDefault="00F35C1F" w:rsidP="00FE379C">
            <w:pPr>
              <w:jc w:val="center"/>
            </w:pPr>
          </w:p>
          <w:p w14:paraId="6EEA5750" w14:textId="77777777" w:rsidR="00F35C1F" w:rsidRDefault="00F35C1F" w:rsidP="00FE379C">
            <w:pPr>
              <w:jc w:val="center"/>
            </w:pPr>
          </w:p>
          <w:p w14:paraId="2F24945F" w14:textId="77777777" w:rsidR="00F35C1F" w:rsidRPr="0084096E" w:rsidRDefault="00F35C1F" w:rsidP="00FE379C">
            <w:pPr>
              <w:jc w:val="center"/>
            </w:pPr>
            <w:r>
              <w:t>Montant TTC</w:t>
            </w:r>
          </w:p>
        </w:tc>
      </w:tr>
      <w:tr w:rsidR="00F35C1F" w14:paraId="7862A65D" w14:textId="77777777" w:rsidTr="00FE379C">
        <w:tc>
          <w:tcPr>
            <w:tcW w:w="1271" w:type="dxa"/>
            <w:vMerge/>
          </w:tcPr>
          <w:p w14:paraId="666BABD2" w14:textId="77777777" w:rsidR="00F35C1F" w:rsidRPr="0084096E" w:rsidRDefault="00F35C1F" w:rsidP="00FE379C">
            <w:pPr>
              <w:jc w:val="right"/>
            </w:pPr>
          </w:p>
        </w:tc>
        <w:tc>
          <w:tcPr>
            <w:tcW w:w="4111" w:type="dxa"/>
            <w:tcBorders>
              <w:top w:val="nil"/>
            </w:tcBorders>
          </w:tcPr>
          <w:p w14:paraId="4BAB7446" w14:textId="77777777" w:rsidR="00F35C1F" w:rsidRDefault="00F35C1F" w:rsidP="00FE379C">
            <w:r>
              <w:t>Immobilisations corporelles</w:t>
            </w:r>
          </w:p>
          <w:p w14:paraId="0B988B3B" w14:textId="77777777" w:rsidR="00F35C1F" w:rsidRDefault="00F35C1F" w:rsidP="00FE379C">
            <w:pPr>
              <w:jc w:val="right"/>
            </w:pPr>
            <w:r>
              <w:t>Fournisseurs d’immobilisations</w:t>
            </w:r>
          </w:p>
          <w:p w14:paraId="76221C30" w14:textId="77777777" w:rsidR="00F35C1F" w:rsidRPr="0084096E" w:rsidRDefault="00F35C1F" w:rsidP="00FE379C">
            <w:pPr>
              <w:jc w:val="center"/>
            </w:pPr>
            <w:r>
              <w:t>(Facture n° ……)</w:t>
            </w:r>
          </w:p>
        </w:tc>
        <w:tc>
          <w:tcPr>
            <w:tcW w:w="1839" w:type="dxa"/>
            <w:vMerge/>
          </w:tcPr>
          <w:p w14:paraId="15A061C4" w14:textId="77777777" w:rsidR="00F35C1F" w:rsidRPr="0084096E" w:rsidRDefault="00F35C1F" w:rsidP="00FE379C">
            <w:pPr>
              <w:jc w:val="center"/>
            </w:pPr>
          </w:p>
        </w:tc>
        <w:tc>
          <w:tcPr>
            <w:tcW w:w="1839" w:type="dxa"/>
            <w:vMerge/>
          </w:tcPr>
          <w:p w14:paraId="44D34749" w14:textId="77777777" w:rsidR="00F35C1F" w:rsidRPr="0084096E" w:rsidRDefault="00F35C1F" w:rsidP="00FE379C">
            <w:pPr>
              <w:jc w:val="center"/>
            </w:pPr>
          </w:p>
        </w:tc>
      </w:tr>
    </w:tbl>
    <w:p w14:paraId="7B953EBC" w14:textId="4A791B0C" w:rsidR="00F35C1F" w:rsidRDefault="00F35C1F" w:rsidP="00F35C1F">
      <w:pPr>
        <w:spacing w:after="0"/>
      </w:pPr>
    </w:p>
    <w:p w14:paraId="230F652A" w14:textId="77777777" w:rsidR="00CB7E6C" w:rsidRDefault="00CB7E6C" w:rsidP="00F35C1F">
      <w:pPr>
        <w:spacing w:after="0"/>
      </w:pPr>
    </w:p>
    <w:p w14:paraId="2794A35E" w14:textId="77777777" w:rsidR="00F35C1F" w:rsidRPr="00B97C8A" w:rsidRDefault="00F35C1F" w:rsidP="00CB7E6C">
      <w:pPr>
        <w:pStyle w:val="Titre3"/>
      </w:pPr>
      <w:r w:rsidRPr="00B97C8A">
        <w:lastRenderedPageBreak/>
        <w:t>L’utilisation de l’immobilisation</w:t>
      </w:r>
    </w:p>
    <w:p w14:paraId="0C4C0460" w14:textId="76111B9C" w:rsidR="00F35C1F" w:rsidRDefault="00F35C1F" w:rsidP="006A20A6">
      <w:r>
        <w:t>Pendant la durée de détention de l’immobilisation, l’entreprise en retire des avantages économiques. L’usage de l’immobilisation contribue à lui faire perdre de sa valeur, on parle alors de dépréciation. La dépréciation irréversible de l’immobilisation avec le temps, l’usure et l’obsolescence représente l’amortissement de l’immobilisation (</w:t>
      </w:r>
      <w:r w:rsidRPr="006A20A6">
        <w:rPr>
          <w:i/>
          <w:iCs/>
        </w:rPr>
        <w:t>cf</w:t>
      </w:r>
      <w:r w:rsidR="006A20A6" w:rsidRPr="006A20A6">
        <w:rPr>
          <w:i/>
          <w:iCs/>
        </w:rPr>
        <w:t>.</w:t>
      </w:r>
      <w:r w:rsidR="006A20A6">
        <w:t xml:space="preserve"> </w:t>
      </w:r>
      <w:r>
        <w:t>chapitre 6).</w:t>
      </w:r>
    </w:p>
    <w:p w14:paraId="5B508554" w14:textId="77777777" w:rsidR="00F35C1F" w:rsidRPr="00B97C8A" w:rsidRDefault="00F35C1F" w:rsidP="006A20A6">
      <w:pPr>
        <w:pStyle w:val="Titre3"/>
      </w:pPr>
      <w:r w:rsidRPr="00B97C8A">
        <w:t>La cession de l’immobilisation</w:t>
      </w:r>
    </w:p>
    <w:p w14:paraId="1CEDE8DE" w14:textId="5FD8D07C" w:rsidR="00F35C1F" w:rsidRDefault="00F35C1F" w:rsidP="006A20A6">
      <w:r>
        <w:t>L’immobilisation est utilisée par l’entreprise pendant une durée variable. Pour diverses raisons, l’entreprise peut devoir s’en séparer, la céder. Cette cession permet (dans la plupart des cas) à l’entreprise de percevoir le prix de vente</w:t>
      </w:r>
      <w:r w:rsidR="006A20A6">
        <w:t>,</w:t>
      </w:r>
      <w:r>
        <w:t xml:space="preserve"> ce qui génère un enregistrement.</w:t>
      </w:r>
      <w:r w:rsidR="006A20A6">
        <w:t xml:space="preserve"> </w:t>
      </w:r>
      <w:r>
        <w:t>L’écriture à passer est la suivante</w:t>
      </w:r>
      <w:r w:rsidR="006A20A6">
        <w:t> :</w:t>
      </w:r>
    </w:p>
    <w:tbl>
      <w:tblPr>
        <w:tblStyle w:val="Grilledutableau"/>
        <w:tblW w:w="0" w:type="auto"/>
        <w:tblLook w:val="04A0" w:firstRow="1" w:lastRow="0" w:firstColumn="1" w:lastColumn="0" w:noHBand="0" w:noVBand="1"/>
      </w:tblPr>
      <w:tblGrid>
        <w:gridCol w:w="1271"/>
        <w:gridCol w:w="4111"/>
        <w:gridCol w:w="1839"/>
        <w:gridCol w:w="1839"/>
      </w:tblGrid>
      <w:tr w:rsidR="00F35C1F" w14:paraId="77FE6EAE" w14:textId="77777777" w:rsidTr="00FE379C">
        <w:tc>
          <w:tcPr>
            <w:tcW w:w="1271" w:type="dxa"/>
            <w:vMerge w:val="restart"/>
          </w:tcPr>
          <w:p w14:paraId="6E0B41C5" w14:textId="77777777" w:rsidR="00F35C1F" w:rsidRDefault="00F35C1F" w:rsidP="00FE379C">
            <w:r>
              <w:t xml:space="preserve"> </w:t>
            </w:r>
          </w:p>
          <w:p w14:paraId="40E71A74" w14:textId="77777777" w:rsidR="00F35C1F" w:rsidRDefault="00F35C1F" w:rsidP="00FE379C">
            <w:pPr>
              <w:jc w:val="center"/>
            </w:pPr>
            <w:r>
              <w:t>46</w:t>
            </w:r>
            <w:r w:rsidRPr="0084096E">
              <w:t>1</w:t>
            </w:r>
          </w:p>
          <w:p w14:paraId="7CEE9F97" w14:textId="77777777" w:rsidR="00F35C1F" w:rsidRPr="0084096E" w:rsidRDefault="00F35C1F" w:rsidP="00FE379C">
            <w:pPr>
              <w:jc w:val="right"/>
            </w:pPr>
            <w:r>
              <w:t>775</w:t>
            </w:r>
          </w:p>
        </w:tc>
        <w:tc>
          <w:tcPr>
            <w:tcW w:w="4111" w:type="dxa"/>
            <w:tcBorders>
              <w:bottom w:val="nil"/>
            </w:tcBorders>
          </w:tcPr>
          <w:p w14:paraId="696D60AF" w14:textId="77777777" w:rsidR="00F35C1F" w:rsidRPr="00252FA6" w:rsidRDefault="00F35C1F" w:rsidP="00FE379C">
            <w:pPr>
              <w:jc w:val="center"/>
              <w:rPr>
                <w:i/>
                <w:iCs/>
              </w:rPr>
            </w:pPr>
            <w:r w:rsidRPr="00252FA6">
              <w:rPr>
                <w:i/>
                <w:iCs/>
              </w:rPr>
              <w:t>Date</w:t>
            </w:r>
          </w:p>
        </w:tc>
        <w:tc>
          <w:tcPr>
            <w:tcW w:w="1839" w:type="dxa"/>
            <w:vMerge w:val="restart"/>
          </w:tcPr>
          <w:p w14:paraId="24230B18" w14:textId="77777777" w:rsidR="00F35C1F" w:rsidRDefault="00F35C1F" w:rsidP="00FE379C">
            <w:pPr>
              <w:jc w:val="center"/>
            </w:pPr>
          </w:p>
          <w:p w14:paraId="6F6D524F" w14:textId="77777777" w:rsidR="00F35C1F" w:rsidRDefault="00F35C1F" w:rsidP="00FE379C">
            <w:pPr>
              <w:jc w:val="center"/>
            </w:pPr>
            <w:r>
              <w:t>Prix de vente</w:t>
            </w:r>
          </w:p>
          <w:p w14:paraId="4FFBA28D" w14:textId="77777777" w:rsidR="00F35C1F" w:rsidRPr="0084096E" w:rsidRDefault="00F35C1F" w:rsidP="00FE379C">
            <w:pPr>
              <w:jc w:val="center"/>
            </w:pPr>
          </w:p>
        </w:tc>
        <w:tc>
          <w:tcPr>
            <w:tcW w:w="1839" w:type="dxa"/>
            <w:vMerge w:val="restart"/>
          </w:tcPr>
          <w:p w14:paraId="0397CCD3" w14:textId="77777777" w:rsidR="00F35C1F" w:rsidRDefault="00F35C1F" w:rsidP="00FE379C">
            <w:pPr>
              <w:jc w:val="center"/>
            </w:pPr>
          </w:p>
          <w:p w14:paraId="719966B5" w14:textId="77777777" w:rsidR="00F35C1F" w:rsidRDefault="00F35C1F" w:rsidP="00FE379C">
            <w:pPr>
              <w:jc w:val="center"/>
            </w:pPr>
          </w:p>
          <w:p w14:paraId="25062677" w14:textId="77777777" w:rsidR="00F35C1F" w:rsidRPr="0084096E" w:rsidRDefault="00F35C1F" w:rsidP="00FE379C">
            <w:pPr>
              <w:jc w:val="center"/>
            </w:pPr>
            <w:r>
              <w:t>Prix de vente</w:t>
            </w:r>
          </w:p>
        </w:tc>
      </w:tr>
      <w:tr w:rsidR="00F35C1F" w14:paraId="475CA72F" w14:textId="77777777" w:rsidTr="00FE379C">
        <w:tc>
          <w:tcPr>
            <w:tcW w:w="1271" w:type="dxa"/>
            <w:vMerge/>
          </w:tcPr>
          <w:p w14:paraId="76E9060A" w14:textId="77777777" w:rsidR="00F35C1F" w:rsidRPr="0084096E" w:rsidRDefault="00F35C1F" w:rsidP="00FE379C">
            <w:pPr>
              <w:jc w:val="right"/>
            </w:pPr>
          </w:p>
        </w:tc>
        <w:tc>
          <w:tcPr>
            <w:tcW w:w="4111" w:type="dxa"/>
            <w:tcBorders>
              <w:top w:val="nil"/>
            </w:tcBorders>
          </w:tcPr>
          <w:p w14:paraId="64999F26" w14:textId="77777777" w:rsidR="00F35C1F" w:rsidRDefault="00F35C1F" w:rsidP="00FE379C">
            <w:r>
              <w:t>Créances sur cession d’immobilisations</w:t>
            </w:r>
          </w:p>
          <w:p w14:paraId="747B55D5" w14:textId="77777777" w:rsidR="00F35C1F" w:rsidRDefault="00F35C1F" w:rsidP="00FE379C">
            <w:pPr>
              <w:jc w:val="right"/>
            </w:pPr>
            <w:r>
              <w:t>Produits des cessions d’éléments</w:t>
            </w:r>
          </w:p>
          <w:p w14:paraId="3A98D533" w14:textId="77777777" w:rsidR="00F35C1F" w:rsidRDefault="00F35C1F" w:rsidP="00FE379C">
            <w:r>
              <w:t>d’actif</w:t>
            </w:r>
          </w:p>
          <w:p w14:paraId="1437D315" w14:textId="007EE3C3" w:rsidR="00F35C1F" w:rsidRPr="0084096E" w:rsidRDefault="00F35C1F" w:rsidP="00FE379C">
            <w:pPr>
              <w:jc w:val="center"/>
            </w:pPr>
            <w:r>
              <w:t>(Facture n°</w:t>
            </w:r>
            <w:r w:rsidR="008D3203">
              <w:t> …</w:t>
            </w:r>
            <w:r>
              <w:t>)</w:t>
            </w:r>
          </w:p>
        </w:tc>
        <w:tc>
          <w:tcPr>
            <w:tcW w:w="1839" w:type="dxa"/>
            <w:vMerge/>
          </w:tcPr>
          <w:p w14:paraId="3CA98008" w14:textId="77777777" w:rsidR="00F35C1F" w:rsidRPr="0084096E" w:rsidRDefault="00F35C1F" w:rsidP="00FE379C">
            <w:pPr>
              <w:jc w:val="center"/>
            </w:pPr>
          </w:p>
        </w:tc>
        <w:tc>
          <w:tcPr>
            <w:tcW w:w="1839" w:type="dxa"/>
            <w:vMerge/>
          </w:tcPr>
          <w:p w14:paraId="4DA17D9C" w14:textId="77777777" w:rsidR="00F35C1F" w:rsidRPr="0084096E" w:rsidRDefault="00F35C1F" w:rsidP="00FE379C">
            <w:pPr>
              <w:jc w:val="center"/>
            </w:pPr>
          </w:p>
        </w:tc>
      </w:tr>
    </w:tbl>
    <w:p w14:paraId="488683ED" w14:textId="77777777" w:rsidR="00F35C1F" w:rsidRDefault="00F35C1F" w:rsidP="00F35C1F"/>
    <w:p w14:paraId="6B7FEA5F" w14:textId="51310E5D" w:rsidR="00F35C1F" w:rsidRPr="00A06D45" w:rsidRDefault="00F35C1F" w:rsidP="008D3203">
      <w:pPr>
        <w:pStyle w:val="Titre2"/>
      </w:pPr>
      <w:r w:rsidRPr="00A06D45">
        <w:t>L’impact de l’investissement sur le patrimoine</w:t>
      </w:r>
    </w:p>
    <w:p w14:paraId="254F1F19" w14:textId="77777777" w:rsidR="00F35C1F" w:rsidRDefault="00F35C1F" w:rsidP="008D3203">
      <w:r>
        <w:t>L’acquisition d’une immobilisation (c’est-à-dire l’investissement) augmente le patrimoine car l’entreprise en est propriétaire. Les immobilisations constituent des actifs inscrits au bilan.</w:t>
      </w:r>
    </w:p>
    <w:p w14:paraId="6768BACD" w14:textId="5578FB57" w:rsidR="00F35C1F" w:rsidRDefault="008D3203" w:rsidP="00F35C1F">
      <w:pPr>
        <w:spacing w:after="0"/>
      </w:pPr>
      <w:r>
        <w:t>À</w:t>
      </w:r>
      <w:r w:rsidR="00F35C1F">
        <w:t xml:space="preserve"> l’inverse, la cession d’une immobilisation fait diminuer la valeur du patrimoine.</w:t>
      </w:r>
    </w:p>
    <w:p w14:paraId="37D33792" w14:textId="77777777" w:rsidR="00F35C1F" w:rsidRDefault="00F35C1F" w:rsidP="008D3203">
      <w:r>
        <w:t>La structure du bilan est la suivante :</w:t>
      </w:r>
    </w:p>
    <w:tbl>
      <w:tblPr>
        <w:tblStyle w:val="Grilledutableau"/>
        <w:tblW w:w="0" w:type="auto"/>
        <w:tblLook w:val="04A0" w:firstRow="1" w:lastRow="0" w:firstColumn="1" w:lastColumn="0" w:noHBand="0" w:noVBand="1"/>
      </w:tblPr>
      <w:tblGrid>
        <w:gridCol w:w="2122"/>
        <w:gridCol w:w="1275"/>
        <w:gridCol w:w="1985"/>
        <w:gridCol w:w="1843"/>
      </w:tblGrid>
      <w:tr w:rsidR="00F35C1F" w14:paraId="47887E06" w14:textId="77777777" w:rsidTr="00FE379C">
        <w:tc>
          <w:tcPr>
            <w:tcW w:w="2122" w:type="dxa"/>
          </w:tcPr>
          <w:p w14:paraId="3D07A180" w14:textId="77777777" w:rsidR="00F35C1F" w:rsidRPr="007C1BE6" w:rsidRDefault="00F35C1F" w:rsidP="00FE379C">
            <w:pPr>
              <w:jc w:val="center"/>
              <w:rPr>
                <w:b/>
              </w:rPr>
            </w:pPr>
            <w:r w:rsidRPr="007C1BE6">
              <w:rPr>
                <w:b/>
              </w:rPr>
              <w:t>ACTIF</w:t>
            </w:r>
          </w:p>
        </w:tc>
        <w:tc>
          <w:tcPr>
            <w:tcW w:w="1275" w:type="dxa"/>
          </w:tcPr>
          <w:p w14:paraId="68CB6D96" w14:textId="77777777" w:rsidR="00F35C1F" w:rsidRPr="007C1BE6" w:rsidRDefault="00F35C1F" w:rsidP="00FE379C">
            <w:pPr>
              <w:jc w:val="center"/>
              <w:rPr>
                <w:b/>
              </w:rPr>
            </w:pPr>
            <w:r w:rsidRPr="007C1BE6">
              <w:rPr>
                <w:b/>
              </w:rPr>
              <w:t>Brut</w:t>
            </w:r>
          </w:p>
        </w:tc>
        <w:tc>
          <w:tcPr>
            <w:tcW w:w="1985" w:type="dxa"/>
          </w:tcPr>
          <w:p w14:paraId="5F37F546" w14:textId="77777777" w:rsidR="00F35C1F" w:rsidRPr="007C1BE6" w:rsidRDefault="00F35C1F" w:rsidP="00FE379C">
            <w:pPr>
              <w:jc w:val="center"/>
              <w:rPr>
                <w:b/>
              </w:rPr>
            </w:pPr>
            <w:r w:rsidRPr="007C1BE6">
              <w:rPr>
                <w:b/>
              </w:rPr>
              <w:t>Amortissement</w:t>
            </w:r>
          </w:p>
        </w:tc>
        <w:tc>
          <w:tcPr>
            <w:tcW w:w="1843" w:type="dxa"/>
          </w:tcPr>
          <w:p w14:paraId="00C959D9" w14:textId="77777777" w:rsidR="00F35C1F" w:rsidRPr="007C1BE6" w:rsidRDefault="00F35C1F" w:rsidP="00FE379C">
            <w:pPr>
              <w:jc w:val="center"/>
              <w:rPr>
                <w:b/>
              </w:rPr>
            </w:pPr>
            <w:r w:rsidRPr="007C1BE6">
              <w:rPr>
                <w:b/>
              </w:rPr>
              <w:t>Net</w:t>
            </w:r>
          </w:p>
        </w:tc>
      </w:tr>
      <w:tr w:rsidR="00F35C1F" w14:paraId="3E8A1E8B" w14:textId="77777777" w:rsidTr="00FE379C">
        <w:tc>
          <w:tcPr>
            <w:tcW w:w="2122" w:type="dxa"/>
          </w:tcPr>
          <w:p w14:paraId="5A577BC1" w14:textId="77777777" w:rsidR="00F35C1F" w:rsidRDefault="00F35C1F" w:rsidP="00FE379C">
            <w:r>
              <w:t>Immobilisations</w:t>
            </w:r>
          </w:p>
          <w:p w14:paraId="69337CAB" w14:textId="3E12A588" w:rsidR="00F35C1F" w:rsidRDefault="00F35C1F" w:rsidP="00FE379C">
            <w:r>
              <w:t xml:space="preserve">     </w:t>
            </w:r>
            <w:r w:rsidR="008D3203">
              <w:t>i</w:t>
            </w:r>
            <w:r>
              <w:t>mmatérielles</w:t>
            </w:r>
          </w:p>
          <w:p w14:paraId="774298FD" w14:textId="7EE3CFA0" w:rsidR="00F35C1F" w:rsidRDefault="00F35C1F" w:rsidP="00FE379C">
            <w:r>
              <w:t xml:space="preserve">     </w:t>
            </w:r>
            <w:r w:rsidR="008D3203">
              <w:t>m</w:t>
            </w:r>
            <w:r>
              <w:t>atérielles</w:t>
            </w:r>
          </w:p>
          <w:p w14:paraId="50F41F31" w14:textId="77777777" w:rsidR="00F35C1F" w:rsidRDefault="00F35C1F" w:rsidP="00FE379C">
            <w:r>
              <w:t xml:space="preserve">     financières</w:t>
            </w:r>
          </w:p>
        </w:tc>
        <w:tc>
          <w:tcPr>
            <w:tcW w:w="1275" w:type="dxa"/>
          </w:tcPr>
          <w:p w14:paraId="405D6940" w14:textId="77777777" w:rsidR="00F35C1F" w:rsidRDefault="00F35C1F" w:rsidP="00FE379C">
            <w:pPr>
              <w:jc w:val="right"/>
            </w:pPr>
          </w:p>
          <w:p w14:paraId="5A9B9CE8" w14:textId="1D4F221B" w:rsidR="00F35C1F" w:rsidRDefault="00F35C1F" w:rsidP="00FE379C">
            <w:pPr>
              <w:jc w:val="right"/>
            </w:pPr>
            <w:r>
              <w:t>10 000,00</w:t>
            </w:r>
          </w:p>
          <w:p w14:paraId="1EDF5643" w14:textId="77777777" w:rsidR="00F35C1F" w:rsidRDefault="00F35C1F" w:rsidP="00FE379C">
            <w:pPr>
              <w:jc w:val="right"/>
            </w:pPr>
            <w:r>
              <w:t>25 000,00</w:t>
            </w:r>
          </w:p>
          <w:p w14:paraId="78FD03FB" w14:textId="77777777" w:rsidR="00F35C1F" w:rsidRDefault="00F35C1F" w:rsidP="00FE379C">
            <w:pPr>
              <w:jc w:val="right"/>
            </w:pPr>
            <w:r>
              <w:t>3 000,00</w:t>
            </w:r>
          </w:p>
        </w:tc>
        <w:tc>
          <w:tcPr>
            <w:tcW w:w="1985" w:type="dxa"/>
          </w:tcPr>
          <w:p w14:paraId="1D8EA481" w14:textId="77777777" w:rsidR="00F35C1F" w:rsidRDefault="00F35C1F" w:rsidP="00FE379C">
            <w:pPr>
              <w:jc w:val="right"/>
            </w:pPr>
          </w:p>
          <w:p w14:paraId="0449A722" w14:textId="77777777" w:rsidR="00F35C1F" w:rsidRDefault="00F35C1F" w:rsidP="00FE379C">
            <w:pPr>
              <w:jc w:val="right"/>
            </w:pPr>
            <w:r>
              <w:t>3 500,00</w:t>
            </w:r>
          </w:p>
          <w:p w14:paraId="189D74A8" w14:textId="77777777" w:rsidR="00F35C1F" w:rsidRDefault="00F35C1F" w:rsidP="00FE379C">
            <w:pPr>
              <w:jc w:val="right"/>
            </w:pPr>
            <w:r>
              <w:t>12 100,00</w:t>
            </w:r>
          </w:p>
          <w:p w14:paraId="6B911870" w14:textId="77777777" w:rsidR="00F35C1F" w:rsidRDefault="00F35C1F" w:rsidP="00FE379C">
            <w:pPr>
              <w:jc w:val="right"/>
            </w:pPr>
            <w:r>
              <w:t>-</w:t>
            </w:r>
          </w:p>
        </w:tc>
        <w:tc>
          <w:tcPr>
            <w:tcW w:w="1843" w:type="dxa"/>
          </w:tcPr>
          <w:p w14:paraId="38635E80" w14:textId="77777777" w:rsidR="00F35C1F" w:rsidRDefault="00F35C1F" w:rsidP="00FE379C">
            <w:pPr>
              <w:jc w:val="right"/>
            </w:pPr>
          </w:p>
          <w:p w14:paraId="572D17DC" w14:textId="77777777" w:rsidR="00F35C1F" w:rsidRDefault="00F35C1F" w:rsidP="00FE379C">
            <w:pPr>
              <w:jc w:val="right"/>
            </w:pPr>
            <w:r>
              <w:t>6 500,00</w:t>
            </w:r>
          </w:p>
          <w:p w14:paraId="77F93812" w14:textId="77777777" w:rsidR="00F35C1F" w:rsidRDefault="00F35C1F" w:rsidP="00FE379C">
            <w:pPr>
              <w:jc w:val="right"/>
            </w:pPr>
            <w:r>
              <w:t>12 900,00</w:t>
            </w:r>
          </w:p>
          <w:p w14:paraId="2EE912FC" w14:textId="77777777" w:rsidR="00F35C1F" w:rsidRDefault="00F35C1F" w:rsidP="00FE379C">
            <w:pPr>
              <w:jc w:val="right"/>
            </w:pPr>
            <w:r>
              <w:t>3 000,00</w:t>
            </w:r>
          </w:p>
        </w:tc>
      </w:tr>
    </w:tbl>
    <w:p w14:paraId="53C2A1E5" w14:textId="77777777" w:rsidR="00F35C1F" w:rsidRDefault="00F35C1F" w:rsidP="008D3203">
      <w:r>
        <w:t>La valeur brute correspond au coût d’acquisition de l’immobilisation. Cette inscription résulte du principe du coût historique à savoir que l’immobilisation doit toujours figurer au bilan pour sa valeur d’origine.</w:t>
      </w:r>
    </w:p>
    <w:p w14:paraId="6CC9C181" w14:textId="77777777" w:rsidR="00F35C1F" w:rsidRDefault="00F35C1F" w:rsidP="008D3203">
      <w:r>
        <w:t>Le montant de l’amortissement représente la perte de valeur du bien avec le temps, l’usure ou l’obsolescence ; cette perte (ou dépréciation) doit être enregistrée en vertu du principe de prudence.</w:t>
      </w:r>
    </w:p>
    <w:p w14:paraId="1311609C" w14:textId="357AB9FA" w:rsidR="00F35C1F" w:rsidRDefault="00F35C1F" w:rsidP="008D3203">
      <w:r>
        <w:lastRenderedPageBreak/>
        <w:t>Enfin, la colonne Net montre la valeur réelle de l’immobilisation à la date du bilan. Et ici, c’est le principe de l’image fidèle de la réalité qui est respecté.</w:t>
      </w:r>
    </w:p>
    <w:p w14:paraId="4E90B849" w14:textId="29D6CD02" w:rsidR="00681F78" w:rsidRPr="008D3203" w:rsidRDefault="00F35C1F" w:rsidP="008D3203">
      <w:pPr>
        <w:spacing w:after="0"/>
        <w:rPr>
          <w:i/>
        </w:rPr>
      </w:pPr>
      <w:r w:rsidRPr="00DA71D3">
        <w:rPr>
          <w:i/>
        </w:rPr>
        <w:t>Exemple : Pour les immobilisations matérielles, la valeur d’acquisition est de 25 000 €, la perte de valeur de 12 100 €, ce qui porte la valeur nette comptable de l’immobilisation à 12 900 €.</w:t>
      </w:r>
      <w:bookmarkStart w:id="0" w:name="_GoBack"/>
      <w:bookmarkEnd w:id="0"/>
    </w:p>
    <w:sectPr w:rsidR="00681F78" w:rsidRPr="008D32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3A61" w14:textId="77777777" w:rsidR="00206267" w:rsidRDefault="00206267" w:rsidP="00A715E6">
      <w:r>
        <w:separator/>
      </w:r>
    </w:p>
  </w:endnote>
  <w:endnote w:type="continuationSeparator" w:id="0">
    <w:p w14:paraId="57396CF3" w14:textId="77777777" w:rsidR="00206267" w:rsidRDefault="00206267"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9C91" w14:textId="77777777" w:rsidR="00206267" w:rsidRDefault="00206267" w:rsidP="00A715E6">
      <w:r>
        <w:separator/>
      </w:r>
    </w:p>
  </w:footnote>
  <w:footnote w:type="continuationSeparator" w:id="0">
    <w:p w14:paraId="284F9EA7" w14:textId="77777777" w:rsidR="00206267" w:rsidRDefault="00206267"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5A9"/>
    <w:multiLevelType w:val="hybridMultilevel"/>
    <w:tmpl w:val="ED928CE6"/>
    <w:lvl w:ilvl="0" w:tplc="610EAB3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1644D7"/>
    <w:multiLevelType w:val="hybridMultilevel"/>
    <w:tmpl w:val="8B384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1"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1"/>
  </w:num>
  <w:num w:numId="6">
    <w:abstractNumId w:val="10"/>
  </w:num>
  <w:num w:numId="7">
    <w:abstractNumId w:val="14"/>
  </w:num>
  <w:num w:numId="8">
    <w:abstractNumId w:val="6"/>
  </w:num>
  <w:num w:numId="9">
    <w:abstractNumId w:val="4"/>
  </w:num>
  <w:num w:numId="10">
    <w:abstractNumId w:val="2"/>
  </w:num>
  <w:num w:numId="11">
    <w:abstractNumId w:val="13"/>
  </w:num>
  <w:num w:numId="12">
    <w:abstractNumId w:val="5"/>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1573AC"/>
    <w:rsid w:val="001B5DE2"/>
    <w:rsid w:val="00206267"/>
    <w:rsid w:val="003521D7"/>
    <w:rsid w:val="003A6F4D"/>
    <w:rsid w:val="003B7549"/>
    <w:rsid w:val="00553262"/>
    <w:rsid w:val="00681F78"/>
    <w:rsid w:val="006A20A6"/>
    <w:rsid w:val="006C3752"/>
    <w:rsid w:val="006F664C"/>
    <w:rsid w:val="008D3203"/>
    <w:rsid w:val="00986690"/>
    <w:rsid w:val="009A5D11"/>
    <w:rsid w:val="00A715E6"/>
    <w:rsid w:val="00B94FF6"/>
    <w:rsid w:val="00BF7364"/>
    <w:rsid w:val="00C511AB"/>
    <w:rsid w:val="00CA5B74"/>
    <w:rsid w:val="00CB7E6C"/>
    <w:rsid w:val="00E31277"/>
    <w:rsid w:val="00E72EB7"/>
    <w:rsid w:val="00F10F58"/>
    <w:rsid w:val="00F35C1F"/>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3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7</cp:revision>
  <dcterms:created xsi:type="dcterms:W3CDTF">2020-03-27T11:34:00Z</dcterms:created>
  <dcterms:modified xsi:type="dcterms:W3CDTF">2020-03-27T11:46:00Z</dcterms:modified>
</cp:coreProperties>
</file>