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FE6E1C"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512EA15F" w14:textId="04FF0F40" w:rsidR="00880A2E" w:rsidRDefault="00136335" w:rsidP="00D71156">
      <w:pPr>
        <w:pStyle w:val="Titre1"/>
        <w:jc w:val="left"/>
      </w:pPr>
      <w:r>
        <w:t xml:space="preserve">Chapitre </w:t>
      </w:r>
      <w:r w:rsidR="00D5240D">
        <w:t>8</w:t>
      </w:r>
      <w:bookmarkStart w:id="0" w:name="_GoBack"/>
      <w:bookmarkEnd w:id="0"/>
      <w:r>
        <w:t> : L</w:t>
      </w:r>
      <w:r w:rsidR="00880A2E">
        <w:t>a dépréciation des actifs</w:t>
      </w:r>
    </w:p>
    <w:p w14:paraId="41DCDECF" w14:textId="5BAFDE26" w:rsidR="00880A2E" w:rsidRDefault="00880A2E" w:rsidP="00880A2E">
      <w:r w:rsidRPr="009E7678">
        <w:t xml:space="preserve">L’objectif de la comptabilité est de fournir une image fidèle du patrimoine de l’entreprise. Du fait du </w:t>
      </w:r>
      <w:r w:rsidRPr="00770B1D">
        <w:rPr>
          <w:b/>
        </w:rPr>
        <w:t>principe de prudence</w:t>
      </w:r>
      <w:r>
        <w:rPr>
          <w:b/>
        </w:rPr>
        <w:t xml:space="preserve"> </w:t>
      </w:r>
      <w:r w:rsidRPr="003838C7">
        <w:t>à respecter,</w:t>
      </w:r>
      <w:r w:rsidRPr="009E7678">
        <w:t xml:space="preserve"> il est nécessaire de prendre en compte les risques probables de pertes </w:t>
      </w:r>
      <w:r>
        <w:t xml:space="preserve">sur les </w:t>
      </w:r>
      <w:r w:rsidRPr="009E7678">
        <w:t>actifs de l’entreprise.</w:t>
      </w:r>
      <w:r>
        <w:t xml:space="preserve"> </w:t>
      </w:r>
    </w:p>
    <w:p w14:paraId="515C7E85" w14:textId="77777777" w:rsidR="00880A2E" w:rsidRPr="009E7678" w:rsidRDefault="00880A2E" w:rsidP="00880A2E"/>
    <w:p w14:paraId="646E8D8E" w14:textId="105B2218" w:rsidR="00880A2E" w:rsidRPr="001B09C8" w:rsidRDefault="00880A2E" w:rsidP="00880A2E">
      <w:pPr>
        <w:pStyle w:val="Titre2"/>
      </w:pPr>
      <w:r>
        <w:t>La notion de dépréciation : calcul et ajustement</w:t>
      </w:r>
    </w:p>
    <w:p w14:paraId="0039673E" w14:textId="77777777" w:rsidR="00880A2E" w:rsidRDefault="00880A2E" w:rsidP="00880A2E">
      <w:r w:rsidRPr="008123CD">
        <w:t>Pour respecter le principe de prudence et ne pas faire peser sur l’avenir des charges ou des pertes rattachées à l’exercice, l’entreprise doit constater en fin d’exercice les dépréciations éventuelles sur les actifs.</w:t>
      </w:r>
    </w:p>
    <w:p w14:paraId="353A6328" w14:textId="77777777" w:rsidR="00880A2E" w:rsidRPr="008123CD" w:rsidRDefault="00880A2E" w:rsidP="00880A2E"/>
    <w:p w14:paraId="1BFAC0C3" w14:textId="3485AF59" w:rsidR="00880A2E" w:rsidRPr="008123CD" w:rsidRDefault="00880A2E" w:rsidP="00880A2E">
      <w:pPr>
        <w:pStyle w:val="Titre3"/>
      </w:pPr>
      <w:r w:rsidRPr="008123CD">
        <w:t>Principe de calcul de la dépréciation</w:t>
      </w:r>
    </w:p>
    <w:p w14:paraId="7DC1C8C9" w14:textId="07A4BA42" w:rsidR="00880A2E" w:rsidRPr="00770B1D" w:rsidRDefault="00880A2E" w:rsidP="00880A2E">
      <w:r w:rsidRPr="008123CD">
        <w:t xml:space="preserve">Une </w:t>
      </w:r>
      <w:r w:rsidRPr="00770B1D">
        <w:t>dépréciation</w:t>
      </w:r>
      <w:r w:rsidRPr="008123CD">
        <w:t xml:space="preserve"> constate </w:t>
      </w:r>
      <w:r w:rsidRPr="00770B1D">
        <w:t>la perte de valeur probable et réversible d’un actif</w:t>
      </w:r>
      <w:r>
        <w:t>.</w:t>
      </w:r>
    </w:p>
    <w:p w14:paraId="0E40BFF5" w14:textId="77777777" w:rsidR="00880A2E" w:rsidRPr="00B929C5" w:rsidRDefault="00880A2E" w:rsidP="00880A2E">
      <w:r w:rsidRPr="008123CD">
        <w:t xml:space="preserve">Afin de déterminer le montant de la dépréciation, il est nécessaire de déterminer </w:t>
      </w:r>
      <w:r w:rsidRPr="00770B1D">
        <w:t xml:space="preserve">la valeur actuelle des actifs </w:t>
      </w:r>
      <w:r>
        <w:t>à la fin de l’exercice comptable</w:t>
      </w:r>
      <w:r w:rsidRPr="00B929C5">
        <w:t xml:space="preserve">. </w:t>
      </w:r>
    </w:p>
    <w:p w14:paraId="6510D412" w14:textId="77777777" w:rsidR="00880A2E" w:rsidRPr="00770B1D" w:rsidRDefault="00880A2E" w:rsidP="00880A2E">
      <w:r w:rsidRPr="00B929C5">
        <w:t xml:space="preserve">Si cette valeur </w:t>
      </w:r>
      <w:r w:rsidRPr="00770B1D">
        <w:t>est inférieure à la valeur d’origine</w:t>
      </w:r>
      <w:r w:rsidRPr="00B929C5">
        <w:t xml:space="preserve"> (valeur d’entrée) de l’actif, on doit constater </w:t>
      </w:r>
      <w:r w:rsidRPr="00770B1D">
        <w:t>une dépréciation.</w:t>
      </w:r>
    </w:p>
    <w:p w14:paraId="51A4ADF9" w14:textId="1C73D128" w:rsidR="00880A2E" w:rsidRPr="00880A2E" w:rsidRDefault="00880A2E" w:rsidP="00880A2E">
      <w:pPr>
        <w:jc w:val="center"/>
        <w:rPr>
          <w:b/>
          <w:bCs/>
        </w:rPr>
      </w:pPr>
      <w:r w:rsidRPr="00880A2E">
        <w:rPr>
          <w:b/>
          <w:bCs/>
        </w:rPr>
        <w:t xml:space="preserve">Dépréciation = </w:t>
      </w:r>
      <w:r>
        <w:rPr>
          <w:b/>
          <w:bCs/>
        </w:rPr>
        <w:t>v</w:t>
      </w:r>
      <w:r w:rsidRPr="00880A2E">
        <w:rPr>
          <w:b/>
          <w:bCs/>
        </w:rPr>
        <w:t xml:space="preserve">aleur d’origine (valeur d’entrée de l’actif) – </w:t>
      </w:r>
      <w:r>
        <w:rPr>
          <w:b/>
          <w:bCs/>
        </w:rPr>
        <w:t>v</w:t>
      </w:r>
      <w:r w:rsidRPr="00880A2E">
        <w:rPr>
          <w:b/>
          <w:bCs/>
        </w:rPr>
        <w:t>aleur actuelle</w:t>
      </w:r>
    </w:p>
    <w:p w14:paraId="35B317D4" w14:textId="77777777" w:rsidR="00880A2E" w:rsidRDefault="00880A2E" w:rsidP="00880A2E">
      <w:pPr>
        <w:spacing w:after="0"/>
        <w:rPr>
          <w:rFonts w:ascii="Times New Roman" w:hAnsi="Times New Roman" w:cs="Times New Roman"/>
          <w:bCs/>
          <w:sz w:val="24"/>
          <w:szCs w:val="24"/>
        </w:rPr>
      </w:pPr>
    </w:p>
    <w:p w14:paraId="32A5E8D9" w14:textId="19AA2355" w:rsidR="00880A2E" w:rsidRPr="008123CD" w:rsidRDefault="00880A2E" w:rsidP="00880A2E">
      <w:pPr>
        <w:pStyle w:val="Titre3"/>
      </w:pPr>
      <w:r w:rsidRPr="008123CD">
        <w:t>L’ajustement de la dépréciation</w:t>
      </w:r>
    </w:p>
    <w:p w14:paraId="457416D9" w14:textId="222BB497" w:rsidR="00880A2E" w:rsidRPr="00880A2E" w:rsidRDefault="00880A2E" w:rsidP="00880A2E">
      <w:pPr>
        <w:rPr>
          <w:rFonts w:eastAsia="NSimSun" w:cs="Arial"/>
          <w:color w:val="000000"/>
          <w:kern w:val="2"/>
          <w:lang w:eastAsia="zh-CN" w:bidi="hi-IN"/>
        </w:rPr>
      </w:pPr>
      <w:r w:rsidRPr="00880A2E">
        <w:t xml:space="preserve">La dépréciation ainsi constatée n’est pas irréversible. </w:t>
      </w:r>
      <w:r w:rsidRPr="00880A2E">
        <w:rPr>
          <w:rFonts w:eastAsia="NSimSun" w:cs="Arial"/>
          <w:color w:val="000000"/>
          <w:kern w:val="2"/>
          <w:lang w:eastAsia="zh-CN" w:bidi="hi-IN"/>
        </w:rPr>
        <w:t>À chaque fin d’exercice, la valeur des actifs est réévaluée, et la dépréciation est ajustée en conséquence.</w:t>
      </w:r>
    </w:p>
    <w:p w14:paraId="119D6EBB" w14:textId="77777777" w:rsidR="00880A2E" w:rsidRPr="00880A2E" w:rsidRDefault="00880A2E" w:rsidP="00880A2E">
      <w:pPr>
        <w:jc w:val="center"/>
        <w:rPr>
          <w:rStyle w:val="lev"/>
        </w:rPr>
      </w:pPr>
      <w:r w:rsidRPr="00880A2E">
        <w:rPr>
          <w:rStyle w:val="lev"/>
        </w:rPr>
        <w:t>Ajustement = (dépréciation de N+1) – (dépréciation de N)</w:t>
      </w:r>
    </w:p>
    <w:p w14:paraId="5FADC4FD" w14:textId="77777777" w:rsidR="00880A2E" w:rsidRPr="00FC1158" w:rsidRDefault="00880A2E" w:rsidP="00880A2E">
      <w:pPr>
        <w:rPr>
          <w:lang w:eastAsia="zh-CN" w:bidi="hi-IN"/>
        </w:rPr>
      </w:pPr>
      <w:r w:rsidRPr="00FC1158">
        <w:rPr>
          <w:lang w:eastAsia="zh-CN" w:bidi="hi-IN"/>
        </w:rPr>
        <w:t>Si la dépréciation de N+1 &gt; dépréciation de N, on constatera une augmentation de la dépréciation, nommée « dotation ».</w:t>
      </w:r>
    </w:p>
    <w:p w14:paraId="286AFB93" w14:textId="77777777" w:rsidR="00880A2E" w:rsidRPr="00FC1158" w:rsidRDefault="00880A2E" w:rsidP="00880A2E">
      <w:pPr>
        <w:rPr>
          <w:lang w:eastAsia="zh-CN" w:bidi="hi-IN"/>
        </w:rPr>
      </w:pPr>
      <w:r w:rsidRPr="00FC1158">
        <w:rPr>
          <w:lang w:eastAsia="zh-CN" w:bidi="hi-IN"/>
        </w:rPr>
        <w:t>Si la dépréciation de N+1 &lt; dépréciation de N, cela donne lieu à une diminution de la dépréciation, nommée « reprise ».</w:t>
      </w:r>
    </w:p>
    <w:p w14:paraId="2B41EBD4" w14:textId="77777777" w:rsidR="00880A2E" w:rsidRDefault="00880A2E" w:rsidP="00880A2E"/>
    <w:p w14:paraId="1B00EB0D" w14:textId="71C12109" w:rsidR="00880A2E" w:rsidRPr="008123CD" w:rsidRDefault="00880A2E" w:rsidP="00880A2E">
      <w:pPr>
        <w:pStyle w:val="Titre2"/>
      </w:pPr>
      <w:r w:rsidRPr="008123CD">
        <w:t xml:space="preserve">La comptabilisation des dépréciations </w:t>
      </w:r>
    </w:p>
    <w:p w14:paraId="0D460CB2" w14:textId="77777777" w:rsidR="00880A2E" w:rsidRPr="00B929C5" w:rsidRDefault="00880A2E" w:rsidP="00880A2E">
      <w:r>
        <w:t>Comptable</w:t>
      </w:r>
      <w:r w:rsidRPr="00B929C5">
        <w:t xml:space="preserve">ment, une dépréciation présente un </w:t>
      </w:r>
      <w:r w:rsidRPr="00B929C5">
        <w:rPr>
          <w:b/>
        </w:rPr>
        <w:t>double aspect</w:t>
      </w:r>
      <w:r w:rsidRPr="00B929C5">
        <w:t xml:space="preserve"> : </w:t>
      </w:r>
    </w:p>
    <w:p w14:paraId="5361BA44" w14:textId="33C6384D" w:rsidR="00880A2E" w:rsidRPr="00B07DC3" w:rsidRDefault="00880A2E" w:rsidP="00880A2E">
      <w:pPr>
        <w:pStyle w:val="Paragraphedeliste"/>
        <w:numPr>
          <w:ilvl w:val="0"/>
          <w:numId w:val="22"/>
        </w:numPr>
      </w:pPr>
      <w:r w:rsidRPr="00880A2E">
        <w:rPr>
          <w:b/>
        </w:rPr>
        <w:t>un risque d’appauvrissement</w:t>
      </w:r>
      <w:r w:rsidRPr="00B07DC3">
        <w:t xml:space="preserve">, qui correspond à une charge calculée, est imputé à l’exercice et fait diminuer son résultat. Cette charge est constatée par le débit du compte 68 </w:t>
      </w:r>
      <w:r>
        <w:t>D</w:t>
      </w:r>
      <w:r w:rsidRPr="00B07DC3">
        <w:t>otations aux amortissements et dépréciations</w:t>
      </w:r>
      <w:r>
        <w:t>.</w:t>
      </w:r>
    </w:p>
    <w:p w14:paraId="437381DF" w14:textId="3BC213E3" w:rsidR="00880A2E" w:rsidRDefault="00880A2E" w:rsidP="00880A2E">
      <w:pPr>
        <w:pStyle w:val="Paragraphedeliste"/>
        <w:numPr>
          <w:ilvl w:val="0"/>
          <w:numId w:val="22"/>
        </w:numPr>
      </w:pPr>
      <w:r w:rsidRPr="00880A2E">
        <w:rPr>
          <w:b/>
        </w:rPr>
        <w:t>une diminution de la valeur</w:t>
      </w:r>
      <w:r w:rsidRPr="00B07DC3">
        <w:t xml:space="preserve"> de certains actifs, constatée par le crédit des comptes d’actifs concernés avec un 9 en deuxième position.</w:t>
      </w:r>
    </w:p>
    <w:p w14:paraId="414A333C" w14:textId="566AA3FC" w:rsidR="00880A2E" w:rsidRPr="00B929C5" w:rsidRDefault="00880A2E" w:rsidP="00880A2E">
      <w:r w:rsidRPr="00B929C5">
        <w:t>Lors des i</w:t>
      </w:r>
      <w:r>
        <w:t>nventaires suivants, il conviendra</w:t>
      </w:r>
      <w:r w:rsidRPr="00B929C5">
        <w:t xml:space="preserve"> </w:t>
      </w:r>
      <w:r>
        <w:t>d’ajuster la dépréciation en effectuant une :</w:t>
      </w:r>
    </w:p>
    <w:p w14:paraId="569C5BDD" w14:textId="5CA1C62E" w:rsidR="00880A2E" w:rsidRPr="00B929C5" w:rsidRDefault="00880A2E" w:rsidP="00880A2E">
      <w:pPr>
        <w:pStyle w:val="Paragraphedeliste"/>
        <w:numPr>
          <w:ilvl w:val="0"/>
          <w:numId w:val="22"/>
        </w:numPr>
      </w:pPr>
      <w:r w:rsidRPr="00880A2E">
        <w:rPr>
          <w:b/>
        </w:rPr>
        <w:t>une dotation complémentaire</w:t>
      </w:r>
      <w:r w:rsidRPr="00B929C5">
        <w:t xml:space="preserve"> si la dépréciation s’est accentuée</w:t>
      </w:r>
      <w:r>
        <w:t>, en dotant le compte 68 Dotations aux amortissements et dépréciations du montant de la différence entre la perte probable (ou dépréciation) fin N et la dépréciation de N-1.</w:t>
      </w:r>
    </w:p>
    <w:p w14:paraId="477D09AC" w14:textId="48717852" w:rsidR="00880A2E" w:rsidRPr="00B929C5" w:rsidRDefault="00880A2E" w:rsidP="00880A2E">
      <w:pPr>
        <w:pStyle w:val="Paragraphedeliste"/>
        <w:numPr>
          <w:ilvl w:val="0"/>
          <w:numId w:val="22"/>
        </w:numPr>
      </w:pPr>
      <w:r w:rsidRPr="00880A2E">
        <w:rPr>
          <w:b/>
        </w:rPr>
        <w:t>une reprise de tout ou partie de la dépréciation</w:t>
      </w:r>
      <w:r w:rsidRPr="00B929C5">
        <w:t xml:space="preserve"> si celle-ci a disparu ou di</w:t>
      </w:r>
      <w:r>
        <w:t>minué ou si l’actif est sorti du</w:t>
      </w:r>
      <w:r w:rsidRPr="00B929C5">
        <w:t xml:space="preserve"> patri</w:t>
      </w:r>
      <w:r>
        <w:t>moine, en créditant le compte 78 Reprises sur dépréciations des actifs.</w:t>
      </w:r>
    </w:p>
    <w:p w14:paraId="22E8E3E7" w14:textId="77777777" w:rsidR="00880A2E" w:rsidRDefault="00880A2E" w:rsidP="00880A2E"/>
    <w:p w14:paraId="5B7BD548" w14:textId="72A78A0E" w:rsidR="00880A2E" w:rsidRPr="00CC5DBD" w:rsidRDefault="00880A2E" w:rsidP="00880A2E">
      <w:pPr>
        <w:pStyle w:val="Titre3"/>
        <w:jc w:val="left"/>
      </w:pPr>
      <w:r w:rsidRPr="00CC5DBD">
        <w:t xml:space="preserve">La </w:t>
      </w:r>
      <w:r>
        <w:t xml:space="preserve">comptabilisation de la </w:t>
      </w:r>
      <w:r w:rsidRPr="00CC5DBD">
        <w:t>dépréciation des immobilisations</w:t>
      </w:r>
      <w:r>
        <w:t xml:space="preserve"> non amortissables</w:t>
      </w:r>
    </w:p>
    <w:p w14:paraId="38B2061F" w14:textId="7C40AD15" w:rsidR="00880A2E" w:rsidRDefault="00880A2E" w:rsidP="00880A2E">
      <w:pPr>
        <w:rPr>
          <w:lang w:eastAsia="zh-CN" w:bidi="hi-IN"/>
        </w:rPr>
      </w:pPr>
      <w:r w:rsidRPr="00337D38">
        <w:rPr>
          <w:lang w:eastAsia="zh-CN" w:bidi="hi-IN"/>
        </w:rPr>
        <w:t xml:space="preserve">Une </w:t>
      </w:r>
      <w:r>
        <w:rPr>
          <w:b/>
          <w:lang w:eastAsia="zh-CN" w:bidi="hi-IN"/>
        </w:rPr>
        <w:t>i</w:t>
      </w:r>
      <w:r w:rsidRPr="00770B1D">
        <w:rPr>
          <w:b/>
          <w:lang w:eastAsia="zh-CN" w:bidi="hi-IN"/>
        </w:rPr>
        <w:t>mmobilisation non amortissable</w:t>
      </w:r>
      <w:r>
        <w:rPr>
          <w:lang w:eastAsia="zh-CN" w:bidi="hi-IN"/>
        </w:rPr>
        <w:t xml:space="preserve"> </w:t>
      </w:r>
      <w:r w:rsidRPr="00E53AAC">
        <w:rPr>
          <w:lang w:eastAsia="zh-CN" w:bidi="hi-IN"/>
        </w:rPr>
        <w:t>est une</w:t>
      </w:r>
      <w:r w:rsidRPr="00860A87">
        <w:rPr>
          <w:b/>
          <w:lang w:eastAsia="zh-CN" w:bidi="hi-IN"/>
        </w:rPr>
        <w:t xml:space="preserve"> </w:t>
      </w:r>
      <w:r w:rsidRPr="00E53AAC">
        <w:rPr>
          <w:lang w:eastAsia="zh-CN" w:bidi="hi-IN"/>
        </w:rPr>
        <w:t xml:space="preserve">immobilisation dont la valeur peut diminuer </w:t>
      </w:r>
      <w:r>
        <w:rPr>
          <w:lang w:eastAsia="zh-CN" w:bidi="hi-IN"/>
        </w:rPr>
        <w:t>ou augmenter momentanément</w:t>
      </w:r>
      <w:r w:rsidRPr="00E53AAC">
        <w:rPr>
          <w:lang w:eastAsia="zh-CN" w:bidi="hi-IN"/>
        </w:rPr>
        <w:t>. Par exemple, les fonds de commerce, les terrains (sauf mines, carrières...), les marques et les brevets, les titres financiers...</w:t>
      </w:r>
    </w:p>
    <w:p w14:paraId="72ABF072" w14:textId="3D1748CC" w:rsidR="00880A2E" w:rsidRPr="001A7A5E" w:rsidRDefault="00880A2E" w:rsidP="00880A2E">
      <w:pPr>
        <w:rPr>
          <w:rFonts w:ascii="Times New Roman" w:hAnsi="Times New Roman" w:cs="Times New Roman"/>
          <w:sz w:val="24"/>
          <w:szCs w:val="24"/>
        </w:rPr>
      </w:pPr>
      <w:r w:rsidRPr="00880A2E">
        <w:t>Lors de l’inventaire, si l’actif a subi une dépréciation, le comptable enregistre une dotation aux dépréciations pour le montant de la dépréciation</w:t>
      </w:r>
      <w:r>
        <w:t>.</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620"/>
        <w:gridCol w:w="580"/>
        <w:gridCol w:w="4807"/>
        <w:gridCol w:w="1843"/>
        <w:gridCol w:w="1788"/>
      </w:tblGrid>
      <w:tr w:rsidR="00880A2E" w:rsidRPr="00880A2E" w14:paraId="6874390C" w14:textId="77777777" w:rsidTr="00DF3AF5">
        <w:tc>
          <w:tcPr>
            <w:tcW w:w="620" w:type="dxa"/>
            <w:tcBorders>
              <w:top w:val="single" w:sz="2" w:space="0" w:color="000000"/>
              <w:left w:val="single" w:sz="2" w:space="0" w:color="000000"/>
              <w:bottom w:val="single" w:sz="2" w:space="0" w:color="000000"/>
            </w:tcBorders>
            <w:shd w:val="clear" w:color="auto" w:fill="auto"/>
          </w:tcPr>
          <w:p w14:paraId="49343F9F" w14:textId="77777777" w:rsidR="00880A2E" w:rsidRPr="00880A2E" w:rsidRDefault="00880A2E" w:rsidP="00DF3AF5">
            <w:pPr>
              <w:suppressLineNumbers/>
              <w:spacing w:after="0" w:line="240" w:lineRule="auto"/>
              <w:rPr>
                <w:rFonts w:eastAsia="NSimSun"/>
                <w:kern w:val="2"/>
                <w:sz w:val="24"/>
                <w:szCs w:val="24"/>
                <w:lang w:eastAsia="zh-CN" w:bidi="hi-IN"/>
              </w:rPr>
            </w:pPr>
          </w:p>
          <w:p w14:paraId="74799A7D" w14:textId="77777777" w:rsidR="00880A2E" w:rsidRPr="00880A2E" w:rsidRDefault="00880A2E" w:rsidP="00DF3AF5">
            <w:pPr>
              <w:suppressLineNumbers/>
              <w:spacing w:after="0" w:line="240" w:lineRule="auto"/>
              <w:rPr>
                <w:rFonts w:eastAsia="NSimSun"/>
                <w:kern w:val="2"/>
                <w:sz w:val="24"/>
                <w:szCs w:val="24"/>
                <w:lang w:eastAsia="zh-CN" w:bidi="hi-IN"/>
              </w:rPr>
            </w:pPr>
            <w:r w:rsidRPr="00880A2E">
              <w:rPr>
                <w:rFonts w:eastAsia="NSimSun"/>
                <w:kern w:val="2"/>
                <w:sz w:val="24"/>
                <w:szCs w:val="24"/>
                <w:lang w:eastAsia="zh-CN" w:bidi="hi-IN"/>
              </w:rPr>
              <w:t>681</w:t>
            </w:r>
          </w:p>
        </w:tc>
        <w:tc>
          <w:tcPr>
            <w:tcW w:w="580" w:type="dxa"/>
            <w:tcBorders>
              <w:top w:val="single" w:sz="2" w:space="0" w:color="000000"/>
              <w:left w:val="single" w:sz="2" w:space="0" w:color="000000"/>
              <w:bottom w:val="single" w:sz="2" w:space="0" w:color="000000"/>
            </w:tcBorders>
            <w:shd w:val="clear" w:color="auto" w:fill="auto"/>
          </w:tcPr>
          <w:p w14:paraId="7828A48B" w14:textId="77777777" w:rsidR="00880A2E" w:rsidRPr="00880A2E" w:rsidRDefault="00880A2E" w:rsidP="00DF3AF5">
            <w:pPr>
              <w:suppressLineNumbers/>
              <w:spacing w:after="0" w:line="240" w:lineRule="auto"/>
              <w:rPr>
                <w:rFonts w:eastAsia="NSimSun"/>
                <w:kern w:val="2"/>
                <w:sz w:val="24"/>
                <w:szCs w:val="24"/>
                <w:lang w:eastAsia="zh-CN" w:bidi="hi-IN"/>
              </w:rPr>
            </w:pPr>
          </w:p>
          <w:p w14:paraId="4A3D6181" w14:textId="77777777" w:rsidR="00880A2E" w:rsidRPr="00880A2E" w:rsidRDefault="00880A2E" w:rsidP="00DF3AF5">
            <w:pPr>
              <w:suppressLineNumbers/>
              <w:spacing w:after="0" w:line="240" w:lineRule="auto"/>
              <w:rPr>
                <w:rFonts w:eastAsia="NSimSun"/>
                <w:kern w:val="2"/>
                <w:sz w:val="24"/>
                <w:szCs w:val="24"/>
                <w:lang w:eastAsia="zh-CN" w:bidi="hi-IN"/>
              </w:rPr>
            </w:pPr>
          </w:p>
          <w:p w14:paraId="2FD27931" w14:textId="77777777" w:rsidR="00880A2E" w:rsidRPr="00880A2E" w:rsidRDefault="00880A2E" w:rsidP="00DF3AF5">
            <w:pPr>
              <w:suppressLineNumbers/>
              <w:spacing w:after="0" w:line="240" w:lineRule="auto"/>
              <w:rPr>
                <w:rFonts w:eastAsia="NSimSun"/>
                <w:kern w:val="2"/>
                <w:sz w:val="24"/>
                <w:szCs w:val="24"/>
                <w:lang w:eastAsia="zh-CN" w:bidi="hi-IN"/>
              </w:rPr>
            </w:pPr>
            <w:r w:rsidRPr="00880A2E">
              <w:rPr>
                <w:rFonts w:eastAsia="NSimSun"/>
                <w:kern w:val="2"/>
                <w:sz w:val="24"/>
                <w:szCs w:val="24"/>
                <w:lang w:eastAsia="zh-CN" w:bidi="hi-IN"/>
              </w:rPr>
              <w:t>29</w:t>
            </w:r>
          </w:p>
        </w:tc>
        <w:tc>
          <w:tcPr>
            <w:tcW w:w="4807" w:type="dxa"/>
            <w:tcBorders>
              <w:top w:val="single" w:sz="2" w:space="0" w:color="000000"/>
              <w:left w:val="single" w:sz="2" w:space="0" w:color="000000"/>
              <w:bottom w:val="single" w:sz="2" w:space="0" w:color="000000"/>
            </w:tcBorders>
            <w:shd w:val="clear" w:color="auto" w:fill="auto"/>
          </w:tcPr>
          <w:p w14:paraId="388012C9" w14:textId="77777777" w:rsidR="00880A2E" w:rsidRPr="00880A2E" w:rsidRDefault="00880A2E" w:rsidP="00DF3AF5">
            <w:pPr>
              <w:suppressLineNumbers/>
              <w:spacing w:after="0" w:line="240" w:lineRule="auto"/>
              <w:jc w:val="center"/>
              <w:rPr>
                <w:rFonts w:eastAsia="NSimSun"/>
                <w:kern w:val="2"/>
                <w:sz w:val="20"/>
                <w:szCs w:val="20"/>
                <w:lang w:eastAsia="zh-CN" w:bidi="hi-IN"/>
              </w:rPr>
            </w:pPr>
            <w:r w:rsidRPr="00880A2E">
              <w:rPr>
                <w:rFonts w:eastAsia="NSimSun"/>
                <w:kern w:val="2"/>
                <w:sz w:val="20"/>
                <w:szCs w:val="20"/>
                <w:lang w:eastAsia="zh-CN" w:bidi="hi-IN"/>
              </w:rPr>
              <w:t>31/12/N-1</w:t>
            </w:r>
          </w:p>
          <w:p w14:paraId="245D7586" w14:textId="77777777" w:rsidR="00880A2E" w:rsidRPr="00880A2E" w:rsidRDefault="00880A2E" w:rsidP="00DF3AF5">
            <w:pPr>
              <w:spacing w:after="0" w:line="240" w:lineRule="auto"/>
              <w:rPr>
                <w:rFonts w:eastAsia="NSimSun"/>
                <w:kern w:val="2"/>
                <w:sz w:val="24"/>
                <w:szCs w:val="24"/>
                <w:lang w:eastAsia="zh-CN" w:bidi="hi-IN"/>
              </w:rPr>
            </w:pPr>
            <w:r w:rsidRPr="00880A2E">
              <w:rPr>
                <w:rFonts w:eastAsia="NSimSun"/>
                <w:b/>
                <w:bCs/>
                <w:kern w:val="2"/>
                <w:sz w:val="24"/>
                <w:szCs w:val="24"/>
                <w:lang w:eastAsia="zh-CN" w:bidi="hi-IN"/>
              </w:rPr>
              <w:t>Dotations</w:t>
            </w:r>
            <w:r w:rsidRPr="00880A2E">
              <w:rPr>
                <w:rFonts w:eastAsia="NSimSun"/>
                <w:kern w:val="2"/>
                <w:sz w:val="24"/>
                <w:szCs w:val="24"/>
                <w:lang w:eastAsia="zh-CN" w:bidi="hi-IN"/>
              </w:rPr>
              <w:t xml:space="preserve"> aux amortissements et dépréciations</w:t>
            </w:r>
          </w:p>
          <w:p w14:paraId="30725A9D" w14:textId="77777777" w:rsidR="00880A2E" w:rsidRPr="00880A2E" w:rsidRDefault="00880A2E" w:rsidP="00DF3AF5">
            <w:pPr>
              <w:spacing w:after="0" w:line="240" w:lineRule="auto"/>
              <w:rPr>
                <w:rFonts w:eastAsia="NSimSun"/>
                <w:kern w:val="2"/>
                <w:sz w:val="24"/>
                <w:szCs w:val="24"/>
                <w:lang w:eastAsia="zh-CN" w:bidi="hi-IN"/>
              </w:rPr>
            </w:pPr>
            <w:r w:rsidRPr="00880A2E">
              <w:rPr>
                <w:rFonts w:eastAsia="NSimSun"/>
                <w:kern w:val="2"/>
                <w:sz w:val="24"/>
                <w:szCs w:val="24"/>
                <w:lang w:eastAsia="zh-CN" w:bidi="hi-IN"/>
              </w:rPr>
              <w:tab/>
              <w:t>Dépréciations des actifs immobilisés</w:t>
            </w:r>
          </w:p>
          <w:p w14:paraId="2E0B1712" w14:textId="77777777" w:rsidR="00880A2E" w:rsidRPr="00880A2E" w:rsidRDefault="00880A2E" w:rsidP="00DF3AF5">
            <w:pPr>
              <w:spacing w:after="0" w:line="240" w:lineRule="auto"/>
              <w:rPr>
                <w:rFonts w:eastAsia="NSimSun"/>
                <w:kern w:val="2"/>
                <w:sz w:val="20"/>
                <w:szCs w:val="20"/>
                <w:lang w:eastAsia="zh-CN" w:bidi="hi-IN"/>
              </w:rPr>
            </w:pPr>
            <w:r w:rsidRPr="00880A2E">
              <w:rPr>
                <w:rFonts w:eastAsia="NSimSun"/>
                <w:kern w:val="2"/>
                <w:sz w:val="20"/>
                <w:szCs w:val="20"/>
                <w:lang w:eastAsia="zh-CN" w:bidi="hi-IN"/>
              </w:rPr>
              <w:t>Constatation de la dépréciation N-1</w:t>
            </w:r>
          </w:p>
        </w:tc>
        <w:tc>
          <w:tcPr>
            <w:tcW w:w="1843" w:type="dxa"/>
            <w:tcBorders>
              <w:top w:val="single" w:sz="2" w:space="0" w:color="000000"/>
              <w:left w:val="single" w:sz="2" w:space="0" w:color="000000"/>
              <w:bottom w:val="single" w:sz="2" w:space="0" w:color="000000"/>
            </w:tcBorders>
            <w:shd w:val="clear" w:color="auto" w:fill="auto"/>
          </w:tcPr>
          <w:p w14:paraId="7A80E5CD" w14:textId="77777777" w:rsidR="00880A2E" w:rsidRPr="00880A2E" w:rsidRDefault="00880A2E" w:rsidP="00DF3AF5">
            <w:pPr>
              <w:suppressLineNumbers/>
              <w:spacing w:after="0" w:line="240" w:lineRule="auto"/>
              <w:rPr>
                <w:rFonts w:eastAsia="NSimSun"/>
                <w:kern w:val="2"/>
                <w:sz w:val="24"/>
                <w:szCs w:val="24"/>
                <w:lang w:eastAsia="zh-CN" w:bidi="hi-IN"/>
              </w:rPr>
            </w:pPr>
          </w:p>
          <w:p w14:paraId="3DFCE8A0" w14:textId="77777777" w:rsidR="00880A2E" w:rsidRPr="00880A2E" w:rsidRDefault="00880A2E" w:rsidP="00DF3AF5">
            <w:pPr>
              <w:suppressLineNumbers/>
              <w:spacing w:after="0" w:line="240" w:lineRule="auto"/>
              <w:rPr>
                <w:rFonts w:eastAsia="NSimSun"/>
                <w:kern w:val="2"/>
                <w:sz w:val="20"/>
                <w:szCs w:val="20"/>
                <w:lang w:eastAsia="zh-CN" w:bidi="hi-IN"/>
              </w:rPr>
            </w:pPr>
            <w:r w:rsidRPr="00880A2E">
              <w:rPr>
                <w:rFonts w:eastAsia="NSimSun"/>
                <w:kern w:val="2"/>
                <w:sz w:val="20"/>
                <w:szCs w:val="20"/>
                <w:lang w:eastAsia="zh-CN" w:bidi="hi-IN"/>
              </w:rPr>
              <w:t>Mt Dépréciation</w:t>
            </w:r>
          </w:p>
        </w:tc>
        <w:tc>
          <w:tcPr>
            <w:tcW w:w="1788" w:type="dxa"/>
            <w:tcBorders>
              <w:top w:val="single" w:sz="2" w:space="0" w:color="000000"/>
              <w:left w:val="single" w:sz="2" w:space="0" w:color="000000"/>
              <w:bottom w:val="single" w:sz="2" w:space="0" w:color="000000"/>
              <w:right w:val="single" w:sz="2" w:space="0" w:color="000000"/>
            </w:tcBorders>
            <w:shd w:val="clear" w:color="auto" w:fill="auto"/>
          </w:tcPr>
          <w:p w14:paraId="2A752568" w14:textId="77777777" w:rsidR="00880A2E" w:rsidRPr="00880A2E" w:rsidRDefault="00880A2E" w:rsidP="00DF3AF5">
            <w:pPr>
              <w:suppressLineNumbers/>
              <w:spacing w:after="0" w:line="240" w:lineRule="auto"/>
              <w:rPr>
                <w:rFonts w:eastAsia="NSimSun"/>
                <w:kern w:val="2"/>
                <w:sz w:val="24"/>
                <w:szCs w:val="24"/>
                <w:lang w:eastAsia="zh-CN" w:bidi="hi-IN"/>
              </w:rPr>
            </w:pPr>
          </w:p>
          <w:p w14:paraId="6B28D41B" w14:textId="77777777" w:rsidR="00880A2E" w:rsidRPr="00880A2E" w:rsidRDefault="00880A2E" w:rsidP="00DF3AF5">
            <w:pPr>
              <w:suppressLineNumbers/>
              <w:spacing w:after="0" w:line="240" w:lineRule="auto"/>
              <w:rPr>
                <w:rFonts w:eastAsia="NSimSun"/>
                <w:kern w:val="2"/>
                <w:sz w:val="24"/>
                <w:szCs w:val="24"/>
                <w:lang w:eastAsia="zh-CN" w:bidi="hi-IN"/>
              </w:rPr>
            </w:pPr>
          </w:p>
          <w:p w14:paraId="185DFB09" w14:textId="77777777" w:rsidR="00880A2E" w:rsidRPr="00880A2E" w:rsidRDefault="00880A2E" w:rsidP="00DF3AF5">
            <w:pPr>
              <w:suppressLineNumbers/>
              <w:spacing w:after="0" w:line="240" w:lineRule="auto"/>
              <w:rPr>
                <w:rFonts w:eastAsia="NSimSun"/>
                <w:kern w:val="2"/>
                <w:sz w:val="24"/>
                <w:szCs w:val="24"/>
                <w:lang w:eastAsia="zh-CN" w:bidi="hi-IN"/>
              </w:rPr>
            </w:pPr>
            <w:r w:rsidRPr="00880A2E">
              <w:rPr>
                <w:rFonts w:eastAsia="NSimSun"/>
                <w:kern w:val="2"/>
                <w:sz w:val="20"/>
                <w:szCs w:val="20"/>
                <w:lang w:eastAsia="zh-CN" w:bidi="hi-IN"/>
              </w:rPr>
              <w:t>Mt Dépréciation</w:t>
            </w:r>
          </w:p>
        </w:tc>
      </w:tr>
    </w:tbl>
    <w:p w14:paraId="4DBD64B7" w14:textId="77777777" w:rsidR="00880A2E" w:rsidRPr="00CC5DBD" w:rsidRDefault="00880A2E" w:rsidP="00880A2E">
      <w:pPr>
        <w:spacing w:after="0" w:line="240" w:lineRule="auto"/>
        <w:rPr>
          <w:rFonts w:ascii="Times New Roman" w:eastAsia="NSimSun" w:hAnsi="Times New Roman" w:cs="Arial"/>
          <w:color w:val="000000"/>
          <w:kern w:val="2"/>
          <w:sz w:val="24"/>
          <w:szCs w:val="24"/>
          <w:lang w:eastAsia="zh-CN" w:bidi="hi-IN"/>
        </w:rPr>
      </w:pPr>
    </w:p>
    <w:p w14:paraId="75CD94C6" w14:textId="4AECA716" w:rsidR="00880A2E" w:rsidRDefault="00880A2E" w:rsidP="00880A2E">
      <w:pPr>
        <w:rPr>
          <w:lang w:eastAsia="zh-CN" w:bidi="hi-IN"/>
        </w:rPr>
      </w:pPr>
      <w:r>
        <w:rPr>
          <w:lang w:eastAsia="zh-CN" w:bidi="hi-IN"/>
        </w:rPr>
        <w:t>À</w:t>
      </w:r>
      <w:r w:rsidRPr="004858C6">
        <w:rPr>
          <w:lang w:eastAsia="zh-CN" w:bidi="hi-IN"/>
        </w:rPr>
        <w:t xml:space="preserve"> la clôture des exercices suivants, le comptable doit ajuster la dépréciation par une dotation (si la dépréciation a augmenté) ou une reprise totale ou partielle de la dépréciation existante (si la dépréciation a diminué)</w:t>
      </w:r>
      <w:r>
        <w:rPr>
          <w:lang w:eastAsia="zh-CN" w:bidi="hi-IN"/>
        </w:rPr>
        <w:t>.</w:t>
      </w:r>
    </w:p>
    <w:tbl>
      <w:tblPr>
        <w:tblW w:w="10401"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620"/>
        <w:gridCol w:w="580"/>
        <w:gridCol w:w="4665"/>
        <w:gridCol w:w="2552"/>
        <w:gridCol w:w="1984"/>
      </w:tblGrid>
      <w:tr w:rsidR="00880A2E" w:rsidRPr="00CC5DBD" w14:paraId="157D44E5" w14:textId="77777777" w:rsidTr="00DF3AF5">
        <w:tc>
          <w:tcPr>
            <w:tcW w:w="620" w:type="dxa"/>
            <w:tcBorders>
              <w:top w:val="single" w:sz="2" w:space="0" w:color="000000"/>
              <w:left w:val="single" w:sz="2" w:space="0" w:color="000000"/>
              <w:bottom w:val="single" w:sz="2" w:space="0" w:color="000000"/>
            </w:tcBorders>
            <w:shd w:val="clear" w:color="auto" w:fill="auto"/>
          </w:tcPr>
          <w:p w14:paraId="6AD15707"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7C04A558"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681</w:t>
            </w:r>
          </w:p>
        </w:tc>
        <w:tc>
          <w:tcPr>
            <w:tcW w:w="580" w:type="dxa"/>
            <w:tcBorders>
              <w:top w:val="single" w:sz="2" w:space="0" w:color="000000"/>
              <w:left w:val="single" w:sz="2" w:space="0" w:color="000000"/>
              <w:bottom w:val="single" w:sz="2" w:space="0" w:color="000000"/>
            </w:tcBorders>
            <w:shd w:val="clear" w:color="auto" w:fill="auto"/>
          </w:tcPr>
          <w:p w14:paraId="59482045"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3F0AE849" w14:textId="77777777" w:rsidR="00880A2E" w:rsidRDefault="00880A2E" w:rsidP="00DF3AF5">
            <w:pPr>
              <w:suppressLineNumbers/>
              <w:spacing w:after="0" w:line="240" w:lineRule="auto"/>
              <w:rPr>
                <w:rFonts w:ascii="Times New Roman" w:eastAsia="NSimSun" w:hAnsi="Times New Roman" w:cs="Arial"/>
                <w:kern w:val="2"/>
                <w:sz w:val="24"/>
                <w:szCs w:val="24"/>
                <w:lang w:eastAsia="zh-CN" w:bidi="hi-IN"/>
              </w:rPr>
            </w:pPr>
          </w:p>
          <w:p w14:paraId="207DFD9B"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1C76E8EB"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29</w:t>
            </w:r>
          </w:p>
        </w:tc>
        <w:tc>
          <w:tcPr>
            <w:tcW w:w="4665" w:type="dxa"/>
            <w:tcBorders>
              <w:top w:val="single" w:sz="2" w:space="0" w:color="000000"/>
              <w:left w:val="single" w:sz="2" w:space="0" w:color="000000"/>
              <w:bottom w:val="single" w:sz="2" w:space="0" w:color="000000"/>
            </w:tcBorders>
            <w:shd w:val="clear" w:color="auto" w:fill="auto"/>
          </w:tcPr>
          <w:p w14:paraId="18D24F66" w14:textId="77777777" w:rsidR="00880A2E" w:rsidRPr="00880A2E" w:rsidRDefault="00880A2E" w:rsidP="00DF3AF5">
            <w:pPr>
              <w:suppressLineNumbers/>
              <w:spacing w:after="0" w:line="240" w:lineRule="auto"/>
              <w:jc w:val="center"/>
              <w:rPr>
                <w:rFonts w:eastAsia="NSimSun"/>
                <w:kern w:val="2"/>
                <w:sz w:val="20"/>
                <w:szCs w:val="20"/>
                <w:lang w:eastAsia="zh-CN" w:bidi="hi-IN"/>
              </w:rPr>
            </w:pPr>
            <w:r w:rsidRPr="00880A2E">
              <w:rPr>
                <w:rFonts w:eastAsia="NSimSun"/>
                <w:kern w:val="2"/>
                <w:sz w:val="20"/>
                <w:szCs w:val="20"/>
                <w:lang w:eastAsia="zh-CN" w:bidi="hi-IN"/>
              </w:rPr>
              <w:t>31/12/N-1</w:t>
            </w:r>
          </w:p>
          <w:p w14:paraId="573CAF3B" w14:textId="77777777" w:rsidR="00880A2E" w:rsidRPr="00880A2E" w:rsidRDefault="00880A2E" w:rsidP="00DF3AF5">
            <w:pPr>
              <w:spacing w:after="0" w:line="240" w:lineRule="auto"/>
              <w:rPr>
                <w:rFonts w:eastAsia="NSimSun"/>
                <w:kern w:val="2"/>
                <w:sz w:val="24"/>
                <w:szCs w:val="24"/>
                <w:lang w:eastAsia="zh-CN" w:bidi="hi-IN"/>
              </w:rPr>
            </w:pPr>
            <w:r w:rsidRPr="00880A2E">
              <w:rPr>
                <w:rFonts w:eastAsia="NSimSun"/>
                <w:b/>
                <w:bCs/>
                <w:kern w:val="2"/>
                <w:sz w:val="24"/>
                <w:szCs w:val="24"/>
                <w:lang w:eastAsia="zh-CN" w:bidi="hi-IN"/>
              </w:rPr>
              <w:t>Dotations</w:t>
            </w:r>
            <w:r w:rsidRPr="00880A2E">
              <w:rPr>
                <w:rFonts w:eastAsia="NSimSun"/>
                <w:kern w:val="2"/>
                <w:sz w:val="24"/>
                <w:szCs w:val="24"/>
                <w:lang w:eastAsia="zh-CN" w:bidi="hi-IN"/>
              </w:rPr>
              <w:t xml:space="preserve"> aux amortissements et dépréciations</w:t>
            </w:r>
          </w:p>
          <w:p w14:paraId="4E1B4698" w14:textId="77777777" w:rsidR="00880A2E" w:rsidRPr="00880A2E" w:rsidRDefault="00880A2E" w:rsidP="00DF3AF5">
            <w:pPr>
              <w:spacing w:after="0" w:line="240" w:lineRule="auto"/>
              <w:rPr>
                <w:rFonts w:eastAsia="NSimSun"/>
                <w:kern w:val="2"/>
                <w:sz w:val="24"/>
                <w:szCs w:val="24"/>
                <w:lang w:eastAsia="zh-CN" w:bidi="hi-IN"/>
              </w:rPr>
            </w:pPr>
          </w:p>
          <w:p w14:paraId="07701F19" w14:textId="77777777" w:rsidR="00880A2E" w:rsidRPr="00880A2E" w:rsidRDefault="00880A2E" w:rsidP="00DF3AF5">
            <w:pPr>
              <w:spacing w:after="0" w:line="240" w:lineRule="auto"/>
              <w:rPr>
                <w:rFonts w:eastAsia="NSimSun"/>
                <w:kern w:val="2"/>
                <w:sz w:val="24"/>
                <w:szCs w:val="24"/>
                <w:lang w:eastAsia="zh-CN" w:bidi="hi-IN"/>
              </w:rPr>
            </w:pPr>
            <w:r w:rsidRPr="00880A2E">
              <w:rPr>
                <w:rFonts w:eastAsia="NSimSun"/>
                <w:kern w:val="2"/>
                <w:sz w:val="24"/>
                <w:szCs w:val="24"/>
                <w:lang w:eastAsia="zh-CN" w:bidi="hi-IN"/>
              </w:rPr>
              <w:tab/>
              <w:t>Dépréciations des actifs immobilisés</w:t>
            </w:r>
          </w:p>
          <w:p w14:paraId="7365A871" w14:textId="77777777" w:rsidR="00880A2E" w:rsidRPr="00880A2E" w:rsidRDefault="00880A2E" w:rsidP="00DF3AF5">
            <w:pPr>
              <w:spacing w:after="0" w:line="240" w:lineRule="auto"/>
              <w:rPr>
                <w:rFonts w:eastAsia="NSimSun"/>
                <w:kern w:val="2"/>
                <w:sz w:val="20"/>
                <w:szCs w:val="20"/>
                <w:lang w:eastAsia="zh-CN" w:bidi="hi-IN"/>
              </w:rPr>
            </w:pPr>
            <w:r w:rsidRPr="00880A2E">
              <w:rPr>
                <w:rFonts w:eastAsia="NSimSun"/>
                <w:kern w:val="2"/>
                <w:sz w:val="20"/>
                <w:szCs w:val="20"/>
                <w:lang w:eastAsia="zh-CN" w:bidi="hi-IN"/>
              </w:rPr>
              <w:t>Augmentation de la dépréciation</w:t>
            </w:r>
          </w:p>
        </w:tc>
        <w:tc>
          <w:tcPr>
            <w:tcW w:w="2552" w:type="dxa"/>
            <w:tcBorders>
              <w:top w:val="single" w:sz="2" w:space="0" w:color="000000"/>
              <w:left w:val="single" w:sz="2" w:space="0" w:color="000000"/>
              <w:bottom w:val="single" w:sz="2" w:space="0" w:color="000000"/>
            </w:tcBorders>
            <w:shd w:val="clear" w:color="auto" w:fill="auto"/>
          </w:tcPr>
          <w:p w14:paraId="1DFBF741" w14:textId="77777777" w:rsidR="00880A2E" w:rsidRPr="00880A2E" w:rsidRDefault="00880A2E" w:rsidP="00DF3AF5">
            <w:pPr>
              <w:suppressLineNumbers/>
              <w:spacing w:after="0" w:line="240" w:lineRule="auto"/>
              <w:rPr>
                <w:rFonts w:eastAsia="NSimSun"/>
                <w:kern w:val="2"/>
                <w:sz w:val="24"/>
                <w:szCs w:val="24"/>
                <w:lang w:eastAsia="zh-CN" w:bidi="hi-IN"/>
              </w:rPr>
            </w:pPr>
          </w:p>
          <w:p w14:paraId="66494A5C" w14:textId="77777777" w:rsidR="00880A2E" w:rsidRPr="00880A2E" w:rsidRDefault="00880A2E" w:rsidP="00DF3AF5">
            <w:pPr>
              <w:suppressLineNumbers/>
              <w:spacing w:after="0" w:line="240" w:lineRule="auto"/>
              <w:rPr>
                <w:rFonts w:eastAsia="NSimSun"/>
                <w:kern w:val="2"/>
                <w:sz w:val="20"/>
                <w:szCs w:val="20"/>
                <w:lang w:eastAsia="zh-CN" w:bidi="hi-IN"/>
              </w:rPr>
            </w:pPr>
            <w:r w:rsidRPr="00880A2E">
              <w:rPr>
                <w:rFonts w:eastAsia="NSimSun"/>
                <w:kern w:val="2"/>
                <w:sz w:val="20"/>
                <w:szCs w:val="20"/>
                <w:lang w:eastAsia="zh-CN" w:bidi="hi-IN"/>
              </w:rPr>
              <w:t>Dépréciation (N+1)   -</w:t>
            </w:r>
          </w:p>
          <w:p w14:paraId="24B68BC8" w14:textId="77777777" w:rsidR="00880A2E" w:rsidRPr="00880A2E" w:rsidRDefault="00880A2E" w:rsidP="00DF3AF5">
            <w:pPr>
              <w:suppressLineNumbers/>
              <w:spacing w:after="0" w:line="240" w:lineRule="auto"/>
              <w:rPr>
                <w:rFonts w:eastAsia="NSimSun"/>
                <w:kern w:val="2"/>
                <w:sz w:val="20"/>
                <w:szCs w:val="20"/>
                <w:lang w:eastAsia="zh-CN" w:bidi="hi-IN"/>
              </w:rPr>
            </w:pPr>
            <w:r w:rsidRPr="00880A2E">
              <w:rPr>
                <w:rFonts w:eastAsia="NSimSun"/>
                <w:kern w:val="2"/>
                <w:sz w:val="20"/>
                <w:szCs w:val="20"/>
                <w:lang w:eastAsia="zh-CN" w:bidi="hi-IN"/>
              </w:rPr>
              <w:t>Dépréciations (N)</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A1D41C4" w14:textId="77777777" w:rsidR="00880A2E" w:rsidRPr="00880A2E" w:rsidRDefault="00880A2E" w:rsidP="00DF3AF5">
            <w:pPr>
              <w:suppressLineNumbers/>
              <w:spacing w:after="0" w:line="240" w:lineRule="auto"/>
              <w:rPr>
                <w:rFonts w:eastAsia="NSimSun"/>
                <w:kern w:val="2"/>
                <w:sz w:val="24"/>
                <w:szCs w:val="24"/>
                <w:lang w:eastAsia="zh-CN" w:bidi="hi-IN"/>
              </w:rPr>
            </w:pPr>
          </w:p>
          <w:p w14:paraId="1F70A1F8" w14:textId="77777777" w:rsidR="00880A2E" w:rsidRPr="00880A2E" w:rsidRDefault="00880A2E" w:rsidP="00DF3AF5">
            <w:pPr>
              <w:suppressLineNumbers/>
              <w:spacing w:after="0" w:line="240" w:lineRule="auto"/>
              <w:rPr>
                <w:rFonts w:eastAsia="NSimSun"/>
                <w:kern w:val="2"/>
                <w:sz w:val="24"/>
                <w:szCs w:val="24"/>
                <w:lang w:eastAsia="zh-CN" w:bidi="hi-IN"/>
              </w:rPr>
            </w:pPr>
          </w:p>
          <w:p w14:paraId="3F026F8D" w14:textId="77777777" w:rsidR="00880A2E" w:rsidRPr="00880A2E" w:rsidRDefault="00880A2E" w:rsidP="00DF3AF5">
            <w:pPr>
              <w:suppressLineNumbers/>
              <w:spacing w:after="0" w:line="240" w:lineRule="auto"/>
              <w:rPr>
                <w:rFonts w:eastAsia="NSimSun"/>
                <w:kern w:val="2"/>
                <w:sz w:val="20"/>
                <w:szCs w:val="20"/>
                <w:lang w:eastAsia="zh-CN" w:bidi="hi-IN"/>
              </w:rPr>
            </w:pPr>
            <w:r w:rsidRPr="00880A2E">
              <w:rPr>
                <w:rFonts w:eastAsia="NSimSun"/>
                <w:kern w:val="2"/>
                <w:sz w:val="20"/>
                <w:szCs w:val="20"/>
                <w:lang w:eastAsia="zh-CN" w:bidi="hi-IN"/>
              </w:rPr>
              <w:t>Dépréciation (N+1)  -</w:t>
            </w:r>
          </w:p>
          <w:p w14:paraId="5B7E4080" w14:textId="77777777" w:rsidR="00880A2E" w:rsidRPr="00880A2E" w:rsidRDefault="00880A2E" w:rsidP="00DF3AF5">
            <w:pPr>
              <w:suppressLineNumbers/>
              <w:spacing w:after="0" w:line="240" w:lineRule="auto"/>
              <w:rPr>
                <w:rFonts w:eastAsia="NSimSun"/>
                <w:kern w:val="2"/>
                <w:sz w:val="24"/>
                <w:szCs w:val="24"/>
                <w:lang w:eastAsia="zh-CN" w:bidi="hi-IN"/>
              </w:rPr>
            </w:pPr>
            <w:r w:rsidRPr="00880A2E">
              <w:rPr>
                <w:rFonts w:eastAsia="NSimSun"/>
                <w:kern w:val="2"/>
                <w:sz w:val="20"/>
                <w:szCs w:val="20"/>
                <w:lang w:eastAsia="zh-CN" w:bidi="hi-IN"/>
              </w:rPr>
              <w:t>Dépréciation (N)</w:t>
            </w:r>
          </w:p>
        </w:tc>
      </w:tr>
    </w:tbl>
    <w:p w14:paraId="01C8C93B" w14:textId="040519B2" w:rsidR="00880A2E" w:rsidRPr="00CC5DBD" w:rsidRDefault="00880A2E" w:rsidP="00880A2E">
      <w:pPr>
        <w:rPr>
          <w:lang w:eastAsia="zh-CN" w:bidi="hi-IN"/>
        </w:rPr>
      </w:pPr>
      <w:r>
        <w:rPr>
          <w:lang w:eastAsia="zh-CN" w:bidi="hi-IN"/>
        </w:rPr>
        <w:t>Ou</w:t>
      </w:r>
    </w:p>
    <w:tbl>
      <w:tblPr>
        <w:tblW w:w="10543"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620"/>
        <w:gridCol w:w="567"/>
        <w:gridCol w:w="5245"/>
        <w:gridCol w:w="1985"/>
        <w:gridCol w:w="2126"/>
      </w:tblGrid>
      <w:tr w:rsidR="00880A2E" w:rsidRPr="00CC5DBD" w14:paraId="6359AC00" w14:textId="77777777" w:rsidTr="00DF3AF5">
        <w:tc>
          <w:tcPr>
            <w:tcW w:w="620" w:type="dxa"/>
            <w:tcBorders>
              <w:top w:val="single" w:sz="2" w:space="0" w:color="000000"/>
              <w:left w:val="single" w:sz="2" w:space="0" w:color="000000"/>
              <w:bottom w:val="single" w:sz="2" w:space="0" w:color="000000"/>
            </w:tcBorders>
            <w:shd w:val="clear" w:color="auto" w:fill="auto"/>
          </w:tcPr>
          <w:p w14:paraId="0EDC8D37"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3E2233FA"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29</w:t>
            </w:r>
          </w:p>
        </w:tc>
        <w:tc>
          <w:tcPr>
            <w:tcW w:w="567" w:type="dxa"/>
            <w:tcBorders>
              <w:top w:val="single" w:sz="2" w:space="0" w:color="000000"/>
              <w:left w:val="single" w:sz="2" w:space="0" w:color="000000"/>
              <w:bottom w:val="single" w:sz="2" w:space="0" w:color="000000"/>
            </w:tcBorders>
            <w:shd w:val="clear" w:color="auto" w:fill="auto"/>
          </w:tcPr>
          <w:p w14:paraId="4130C2C1"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06AC4427" w14:textId="77777777" w:rsidR="00880A2E" w:rsidRDefault="00880A2E" w:rsidP="00DF3AF5">
            <w:pPr>
              <w:suppressLineNumbers/>
              <w:spacing w:after="0" w:line="240" w:lineRule="auto"/>
              <w:rPr>
                <w:rFonts w:ascii="Times New Roman" w:eastAsia="NSimSun" w:hAnsi="Times New Roman" w:cs="Arial"/>
                <w:kern w:val="2"/>
                <w:sz w:val="24"/>
                <w:szCs w:val="24"/>
                <w:lang w:eastAsia="zh-CN" w:bidi="hi-IN"/>
              </w:rPr>
            </w:pPr>
          </w:p>
          <w:p w14:paraId="19BF3E13"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58BD1154"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781</w:t>
            </w:r>
          </w:p>
        </w:tc>
        <w:tc>
          <w:tcPr>
            <w:tcW w:w="5245" w:type="dxa"/>
            <w:tcBorders>
              <w:top w:val="single" w:sz="2" w:space="0" w:color="000000"/>
              <w:left w:val="single" w:sz="2" w:space="0" w:color="000000"/>
              <w:bottom w:val="single" w:sz="2" w:space="0" w:color="000000"/>
            </w:tcBorders>
            <w:shd w:val="clear" w:color="auto" w:fill="auto"/>
          </w:tcPr>
          <w:p w14:paraId="684EA6B8" w14:textId="77777777" w:rsidR="00880A2E" w:rsidRPr="00880A2E" w:rsidRDefault="00880A2E" w:rsidP="00DF3AF5">
            <w:pPr>
              <w:suppressLineNumbers/>
              <w:spacing w:after="0" w:line="240" w:lineRule="auto"/>
              <w:jc w:val="center"/>
              <w:rPr>
                <w:rFonts w:eastAsia="NSimSun"/>
                <w:kern w:val="2"/>
                <w:sz w:val="20"/>
                <w:szCs w:val="20"/>
                <w:lang w:eastAsia="zh-CN" w:bidi="hi-IN"/>
              </w:rPr>
            </w:pPr>
            <w:r w:rsidRPr="00880A2E">
              <w:rPr>
                <w:rFonts w:eastAsia="NSimSun"/>
                <w:kern w:val="2"/>
                <w:sz w:val="20"/>
                <w:szCs w:val="20"/>
                <w:lang w:eastAsia="zh-CN" w:bidi="hi-IN"/>
              </w:rPr>
              <w:t>31/12/N</w:t>
            </w:r>
          </w:p>
          <w:p w14:paraId="2C5ECD91" w14:textId="77777777" w:rsidR="00880A2E" w:rsidRPr="00880A2E" w:rsidRDefault="00880A2E" w:rsidP="00DF3AF5">
            <w:pPr>
              <w:spacing w:after="0" w:line="240" w:lineRule="auto"/>
              <w:rPr>
                <w:rFonts w:eastAsia="NSimSun"/>
                <w:kern w:val="2"/>
                <w:sz w:val="24"/>
                <w:szCs w:val="24"/>
                <w:lang w:eastAsia="zh-CN" w:bidi="hi-IN"/>
              </w:rPr>
            </w:pPr>
            <w:r w:rsidRPr="00880A2E">
              <w:rPr>
                <w:rFonts w:eastAsia="NSimSun"/>
                <w:kern w:val="2"/>
                <w:sz w:val="24"/>
                <w:szCs w:val="24"/>
                <w:lang w:eastAsia="zh-CN" w:bidi="hi-IN"/>
              </w:rPr>
              <w:t>Dépréciations des actifs immobilisées</w:t>
            </w:r>
          </w:p>
          <w:p w14:paraId="4C00FCA8" w14:textId="77777777" w:rsidR="00880A2E" w:rsidRPr="00880A2E" w:rsidRDefault="00880A2E" w:rsidP="00DF3AF5">
            <w:pPr>
              <w:spacing w:after="0" w:line="240" w:lineRule="auto"/>
              <w:rPr>
                <w:rFonts w:eastAsia="NSimSun"/>
                <w:kern w:val="2"/>
                <w:sz w:val="24"/>
                <w:szCs w:val="24"/>
                <w:lang w:eastAsia="zh-CN" w:bidi="hi-IN"/>
              </w:rPr>
            </w:pPr>
          </w:p>
          <w:p w14:paraId="5CE98FB9" w14:textId="1DE55FD3" w:rsidR="00880A2E" w:rsidRPr="00880A2E" w:rsidRDefault="00880A2E" w:rsidP="00DF3AF5">
            <w:pPr>
              <w:spacing w:after="0" w:line="240" w:lineRule="auto"/>
              <w:rPr>
                <w:rFonts w:eastAsia="NSimSun"/>
                <w:kern w:val="2"/>
                <w:sz w:val="24"/>
                <w:szCs w:val="24"/>
                <w:lang w:eastAsia="zh-CN" w:bidi="hi-IN"/>
              </w:rPr>
            </w:pPr>
            <w:r>
              <w:rPr>
                <w:rFonts w:eastAsia="NSimSun"/>
                <w:b/>
                <w:bCs/>
                <w:kern w:val="2"/>
                <w:sz w:val="24"/>
                <w:szCs w:val="24"/>
                <w:lang w:eastAsia="zh-CN" w:bidi="hi-IN"/>
              </w:rPr>
              <w:t xml:space="preserve">      </w:t>
            </w:r>
            <w:r w:rsidRPr="00880A2E">
              <w:rPr>
                <w:rFonts w:eastAsia="NSimSun"/>
                <w:b/>
                <w:bCs/>
                <w:kern w:val="2"/>
                <w:sz w:val="24"/>
                <w:szCs w:val="24"/>
                <w:lang w:eastAsia="zh-CN" w:bidi="hi-IN"/>
              </w:rPr>
              <w:t>Reprises</w:t>
            </w:r>
            <w:r w:rsidRPr="00880A2E">
              <w:rPr>
                <w:rFonts w:eastAsia="NSimSun"/>
                <w:kern w:val="2"/>
                <w:sz w:val="24"/>
                <w:szCs w:val="24"/>
                <w:lang w:eastAsia="zh-CN" w:bidi="hi-IN"/>
              </w:rPr>
              <w:t xml:space="preserve"> sur amortissements et dépréciations</w:t>
            </w:r>
          </w:p>
          <w:p w14:paraId="073B8C1E" w14:textId="77777777" w:rsidR="00880A2E" w:rsidRPr="00880A2E" w:rsidRDefault="00880A2E" w:rsidP="00DF3AF5">
            <w:pPr>
              <w:spacing w:after="0" w:line="240" w:lineRule="auto"/>
              <w:rPr>
                <w:rFonts w:eastAsia="NSimSun"/>
                <w:kern w:val="2"/>
                <w:sz w:val="20"/>
                <w:szCs w:val="20"/>
                <w:lang w:eastAsia="zh-CN" w:bidi="hi-IN"/>
              </w:rPr>
            </w:pPr>
            <w:r w:rsidRPr="00880A2E">
              <w:rPr>
                <w:rFonts w:eastAsia="NSimSun"/>
                <w:kern w:val="2"/>
                <w:sz w:val="20"/>
                <w:szCs w:val="20"/>
                <w:lang w:eastAsia="zh-CN" w:bidi="hi-IN"/>
              </w:rPr>
              <w:t xml:space="preserve">Annulation totale ou partielle de la dépréciation </w:t>
            </w:r>
          </w:p>
        </w:tc>
        <w:tc>
          <w:tcPr>
            <w:tcW w:w="1985" w:type="dxa"/>
            <w:tcBorders>
              <w:top w:val="single" w:sz="2" w:space="0" w:color="000000"/>
              <w:left w:val="single" w:sz="2" w:space="0" w:color="000000"/>
              <w:bottom w:val="single" w:sz="2" w:space="0" w:color="000000"/>
            </w:tcBorders>
            <w:shd w:val="clear" w:color="auto" w:fill="auto"/>
          </w:tcPr>
          <w:p w14:paraId="127B218F" w14:textId="77777777" w:rsidR="00880A2E" w:rsidRPr="00880A2E" w:rsidRDefault="00880A2E" w:rsidP="00DF3AF5">
            <w:pPr>
              <w:suppressLineNumbers/>
              <w:spacing w:after="0" w:line="240" w:lineRule="auto"/>
              <w:rPr>
                <w:rFonts w:eastAsia="NSimSun"/>
                <w:kern w:val="2"/>
                <w:sz w:val="20"/>
                <w:szCs w:val="20"/>
                <w:lang w:eastAsia="zh-CN" w:bidi="hi-IN"/>
              </w:rPr>
            </w:pPr>
          </w:p>
          <w:p w14:paraId="18C32971" w14:textId="77777777" w:rsidR="00880A2E" w:rsidRPr="00880A2E" w:rsidRDefault="00880A2E" w:rsidP="00DF3AF5">
            <w:pPr>
              <w:suppressLineNumbers/>
              <w:spacing w:after="0" w:line="240" w:lineRule="auto"/>
              <w:rPr>
                <w:rFonts w:eastAsia="NSimSun"/>
                <w:kern w:val="2"/>
                <w:sz w:val="20"/>
                <w:szCs w:val="20"/>
                <w:lang w:eastAsia="zh-CN" w:bidi="hi-IN"/>
              </w:rPr>
            </w:pPr>
            <w:r w:rsidRPr="00880A2E">
              <w:rPr>
                <w:rFonts w:eastAsia="NSimSun"/>
                <w:kern w:val="2"/>
                <w:sz w:val="20"/>
                <w:szCs w:val="20"/>
                <w:lang w:eastAsia="zh-CN" w:bidi="hi-IN"/>
              </w:rPr>
              <w:t>Dépréciation (N)    - Dépréciation (N+1)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12199A43"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7B3FB761"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566B0989" w14:textId="77777777" w:rsidR="00880A2E" w:rsidRPr="00880A2E" w:rsidRDefault="00880A2E" w:rsidP="00DF3AF5">
            <w:pPr>
              <w:suppressLineNumbers/>
              <w:spacing w:after="0" w:line="240" w:lineRule="auto"/>
              <w:rPr>
                <w:rFonts w:eastAsia="NSimSun"/>
                <w:kern w:val="2"/>
                <w:sz w:val="24"/>
                <w:szCs w:val="24"/>
                <w:lang w:eastAsia="zh-CN" w:bidi="hi-IN"/>
              </w:rPr>
            </w:pPr>
            <w:r w:rsidRPr="00880A2E">
              <w:rPr>
                <w:rFonts w:eastAsia="NSimSun"/>
                <w:kern w:val="2"/>
                <w:sz w:val="20"/>
                <w:szCs w:val="20"/>
                <w:lang w:eastAsia="zh-CN" w:bidi="hi-IN"/>
              </w:rPr>
              <w:t>Dépréciation (N)    - Dépréciation (N+1)</w:t>
            </w:r>
          </w:p>
        </w:tc>
      </w:tr>
    </w:tbl>
    <w:p w14:paraId="02287709" w14:textId="77777777" w:rsidR="00880A2E" w:rsidRPr="00337D38" w:rsidRDefault="00880A2E" w:rsidP="00880A2E">
      <w:pPr>
        <w:spacing w:after="0"/>
        <w:rPr>
          <w:rFonts w:ascii="Times New Roman" w:hAnsi="Times New Roman" w:cs="Times New Roman"/>
          <w:sz w:val="24"/>
          <w:szCs w:val="24"/>
        </w:rPr>
      </w:pPr>
    </w:p>
    <w:p w14:paraId="656B517C" w14:textId="7332489C" w:rsidR="00880A2E" w:rsidRPr="00860A87" w:rsidRDefault="00880A2E" w:rsidP="00880A2E">
      <w:pPr>
        <w:pStyle w:val="Titre3"/>
      </w:pPr>
      <w:r w:rsidRPr="00860A87">
        <w:tab/>
      </w:r>
      <w:r w:rsidRPr="00CC5DBD">
        <w:t xml:space="preserve">La </w:t>
      </w:r>
      <w:r>
        <w:t>comptabilisation de la</w:t>
      </w:r>
      <w:r w:rsidRPr="00860A87">
        <w:t xml:space="preserve"> dépréciation des stocks</w:t>
      </w:r>
    </w:p>
    <w:p w14:paraId="6D4AC1A0" w14:textId="6B188640" w:rsidR="00880A2E" w:rsidRDefault="00880A2E" w:rsidP="00880A2E">
      <w:pPr>
        <w:rPr>
          <w:lang w:eastAsia="zh-CN" w:bidi="hi-IN"/>
        </w:rPr>
      </w:pPr>
      <w:r w:rsidRPr="00860A87">
        <w:rPr>
          <w:lang w:eastAsia="zh-CN" w:bidi="hi-IN"/>
        </w:rPr>
        <w:t>Un stock peut se déprécier du fait de</w:t>
      </w:r>
      <w:r w:rsidRPr="00CC5DBD">
        <w:rPr>
          <w:lang w:eastAsia="zh-CN" w:bidi="hi-IN"/>
        </w:rPr>
        <w:t xml:space="preserve"> détériorations ou </w:t>
      </w:r>
      <w:r w:rsidRPr="00860A87">
        <w:rPr>
          <w:lang w:eastAsia="zh-CN" w:bidi="hi-IN"/>
        </w:rPr>
        <w:t>de</w:t>
      </w:r>
      <w:r w:rsidRPr="00CC5DBD">
        <w:rPr>
          <w:lang w:eastAsia="zh-CN" w:bidi="hi-IN"/>
        </w:rPr>
        <w:t xml:space="preserve"> mévente</w:t>
      </w:r>
      <w:r w:rsidRPr="00860A87">
        <w:rPr>
          <w:lang w:eastAsia="zh-CN" w:bidi="hi-IN"/>
        </w:rPr>
        <w:t>s</w:t>
      </w:r>
      <w:r w:rsidRPr="00CC5DBD">
        <w:rPr>
          <w:lang w:eastAsia="zh-CN" w:bidi="hi-IN"/>
        </w:rPr>
        <w:t xml:space="preserve"> (</w:t>
      </w:r>
      <w:r w:rsidRPr="00860A87">
        <w:rPr>
          <w:lang w:eastAsia="zh-CN" w:bidi="hi-IN"/>
        </w:rPr>
        <w:t>produits démodés ou obsolètes</w:t>
      </w:r>
      <w:r w:rsidRPr="00CC5DBD">
        <w:rPr>
          <w:lang w:eastAsia="zh-CN" w:bidi="hi-IN"/>
        </w:rPr>
        <w:t>).</w:t>
      </w:r>
    </w:p>
    <w:p w14:paraId="7246151B" w14:textId="26E32F93" w:rsidR="00880A2E" w:rsidRPr="00880A2E" w:rsidRDefault="00880A2E" w:rsidP="00880A2E">
      <w:pPr>
        <w:rPr>
          <w:lang w:eastAsia="zh-CN" w:bidi="hi-IN"/>
        </w:rPr>
      </w:pPr>
      <w:r w:rsidRPr="00860A87">
        <w:rPr>
          <w:lang w:eastAsia="zh-CN" w:bidi="hi-IN"/>
        </w:rPr>
        <w:t>L</w:t>
      </w:r>
      <w:r w:rsidRPr="00CC5DBD">
        <w:rPr>
          <w:lang w:eastAsia="zh-CN" w:bidi="hi-IN"/>
        </w:rPr>
        <w:t>a dépréciation des stocks constatée au cours d’un exercice fait l’objet d’une reprise totale lors des écritures d’inventaire de l’exercice suivant. En effet, on considère que les stocks présents au début de l’exercice ont été vendus ou consommés, et donc que la dépréciation est devenue sans objet.</w:t>
      </w:r>
    </w:p>
    <w:p w14:paraId="05A4ACCA" w14:textId="77777777" w:rsidR="00880A2E" w:rsidRPr="00880A2E" w:rsidRDefault="00880A2E" w:rsidP="00880A2E">
      <w:pPr>
        <w:jc w:val="center"/>
        <w:rPr>
          <w:b/>
          <w:bCs/>
          <w:lang w:eastAsia="zh-CN" w:bidi="hi-IN"/>
        </w:rPr>
      </w:pPr>
      <w:r w:rsidRPr="00880A2E">
        <w:rPr>
          <w:b/>
          <w:bCs/>
          <w:lang w:eastAsia="zh-CN" w:bidi="hi-IN"/>
        </w:rPr>
        <w:t>=&gt; Il n’y a pas d’ajustement pour les dépréciations de stock.</w:t>
      </w:r>
    </w:p>
    <w:p w14:paraId="19857E27" w14:textId="77777777" w:rsidR="00880A2E" w:rsidRPr="00CC5DBD" w:rsidRDefault="00880A2E" w:rsidP="00880A2E">
      <w:pPr>
        <w:spacing w:after="0" w:line="240" w:lineRule="auto"/>
        <w:jc w:val="center"/>
        <w:rPr>
          <w:rFonts w:ascii="Times New Roman" w:eastAsia="NSimSun" w:hAnsi="Times New Roman" w:cs="Arial"/>
          <w:b/>
          <w:bCs/>
          <w:color w:val="000000"/>
          <w:kern w:val="2"/>
          <w:sz w:val="24"/>
          <w:szCs w:val="24"/>
          <w:lang w:eastAsia="zh-CN" w:bidi="hi-IN"/>
        </w:rPr>
      </w:pPr>
    </w:p>
    <w:p w14:paraId="31455D8F" w14:textId="75CAD0BF" w:rsidR="00880A2E" w:rsidRPr="00F83E57" w:rsidRDefault="00880A2E" w:rsidP="00880A2E">
      <w:r w:rsidRPr="00F83E57">
        <w:rPr>
          <w:u w:val="single"/>
        </w:rPr>
        <w:t>1</w:t>
      </w:r>
      <w:r w:rsidRPr="00F83E57">
        <w:rPr>
          <w:u w:val="single"/>
          <w:vertAlign w:val="superscript"/>
        </w:rPr>
        <w:t>re</w:t>
      </w:r>
      <w:r w:rsidRPr="00F83E57">
        <w:rPr>
          <w:u w:val="single"/>
        </w:rPr>
        <w:t xml:space="preserve"> étape</w:t>
      </w:r>
      <w:r w:rsidRPr="00F83E57">
        <w:t> : annulation des dépréciations existantes sur les stocks initiaux</w:t>
      </w:r>
      <w:r>
        <w:t xml:space="preserve"> (fin N-1)</w:t>
      </w:r>
    </w:p>
    <w:tbl>
      <w:tblPr>
        <w:tblW w:w="9409"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479"/>
        <w:gridCol w:w="567"/>
        <w:gridCol w:w="5244"/>
        <w:gridCol w:w="1560"/>
        <w:gridCol w:w="1559"/>
      </w:tblGrid>
      <w:tr w:rsidR="00880A2E" w:rsidRPr="00CC5DBD" w14:paraId="4B8CF085" w14:textId="77777777" w:rsidTr="00DF3AF5">
        <w:tc>
          <w:tcPr>
            <w:tcW w:w="479" w:type="dxa"/>
            <w:tcBorders>
              <w:top w:val="single" w:sz="2" w:space="0" w:color="000000"/>
              <w:left w:val="single" w:sz="2" w:space="0" w:color="000000"/>
              <w:bottom w:val="single" w:sz="2" w:space="0" w:color="000000"/>
            </w:tcBorders>
            <w:shd w:val="clear" w:color="auto" w:fill="auto"/>
          </w:tcPr>
          <w:p w14:paraId="4D23040D"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hAnsi="Times New Roman" w:cs="Times New Roman"/>
                <w:b/>
                <w:sz w:val="24"/>
                <w:szCs w:val="24"/>
                <w:u w:val="single"/>
              </w:rPr>
              <w:t xml:space="preserve"> </w:t>
            </w:r>
          </w:p>
          <w:p w14:paraId="535F3D0A"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39</w:t>
            </w:r>
          </w:p>
        </w:tc>
        <w:tc>
          <w:tcPr>
            <w:tcW w:w="567" w:type="dxa"/>
            <w:tcBorders>
              <w:top w:val="single" w:sz="2" w:space="0" w:color="000000"/>
              <w:left w:val="single" w:sz="2" w:space="0" w:color="000000"/>
              <w:bottom w:val="single" w:sz="2" w:space="0" w:color="000000"/>
            </w:tcBorders>
            <w:shd w:val="clear" w:color="auto" w:fill="auto"/>
          </w:tcPr>
          <w:p w14:paraId="07B58C11"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5ACB1D13"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3D2744E2"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781</w:t>
            </w:r>
          </w:p>
        </w:tc>
        <w:tc>
          <w:tcPr>
            <w:tcW w:w="5244" w:type="dxa"/>
            <w:tcBorders>
              <w:top w:val="single" w:sz="2" w:space="0" w:color="000000"/>
              <w:left w:val="single" w:sz="2" w:space="0" w:color="000000"/>
              <w:bottom w:val="single" w:sz="2" w:space="0" w:color="000000"/>
            </w:tcBorders>
            <w:shd w:val="clear" w:color="auto" w:fill="auto"/>
          </w:tcPr>
          <w:p w14:paraId="268A69EB" w14:textId="77777777" w:rsidR="00880A2E" w:rsidRPr="00CC5DBD"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CC5DBD">
              <w:rPr>
                <w:rFonts w:ascii="Times New Roman" w:eastAsia="NSimSun" w:hAnsi="Times New Roman" w:cs="Arial"/>
                <w:kern w:val="2"/>
                <w:sz w:val="20"/>
                <w:szCs w:val="20"/>
                <w:lang w:eastAsia="zh-CN" w:bidi="hi-IN"/>
              </w:rPr>
              <w:t>31/12/N</w:t>
            </w:r>
          </w:p>
          <w:p w14:paraId="270E31B7" w14:textId="77777777" w:rsidR="00880A2E" w:rsidRPr="00CC5DBD" w:rsidRDefault="00880A2E" w:rsidP="00DF3AF5">
            <w:pPr>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 xml:space="preserve">Dépréciations des </w:t>
            </w:r>
            <w:r>
              <w:rPr>
                <w:rFonts w:ascii="Times New Roman" w:eastAsia="NSimSun" w:hAnsi="Times New Roman" w:cs="Arial"/>
                <w:kern w:val="2"/>
                <w:sz w:val="24"/>
                <w:szCs w:val="24"/>
                <w:lang w:eastAsia="zh-CN" w:bidi="hi-IN"/>
              </w:rPr>
              <w:t>stocks</w:t>
            </w:r>
          </w:p>
          <w:p w14:paraId="66960F0C" w14:textId="77777777" w:rsidR="00880A2E" w:rsidRPr="00CC5DBD" w:rsidRDefault="00880A2E" w:rsidP="00DF3AF5">
            <w:pPr>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b/>
                <w:bCs/>
                <w:kern w:val="2"/>
                <w:sz w:val="24"/>
                <w:szCs w:val="24"/>
                <w:lang w:eastAsia="zh-CN" w:bidi="hi-IN"/>
              </w:rPr>
              <w:tab/>
              <w:t>Reprises</w:t>
            </w:r>
            <w:r w:rsidRPr="00CC5DBD">
              <w:rPr>
                <w:rFonts w:ascii="Times New Roman" w:eastAsia="NSimSun" w:hAnsi="Times New Roman" w:cs="Arial"/>
                <w:kern w:val="2"/>
                <w:sz w:val="24"/>
                <w:szCs w:val="24"/>
                <w:lang w:eastAsia="zh-CN" w:bidi="hi-IN"/>
              </w:rPr>
              <w:t xml:space="preserve"> sur amortissements et dépréciations</w:t>
            </w:r>
          </w:p>
          <w:p w14:paraId="25CC29D6" w14:textId="77777777" w:rsidR="00880A2E" w:rsidRPr="00CC5DBD" w:rsidRDefault="00880A2E" w:rsidP="00DF3AF5">
            <w:pPr>
              <w:spacing w:after="0" w:line="240" w:lineRule="auto"/>
              <w:rPr>
                <w:rFonts w:ascii="Times New Roman" w:eastAsia="NSimSun" w:hAnsi="Times New Roman" w:cs="Arial"/>
                <w:kern w:val="2"/>
                <w:sz w:val="20"/>
                <w:szCs w:val="20"/>
                <w:lang w:eastAsia="zh-CN" w:bidi="hi-IN"/>
              </w:rPr>
            </w:pPr>
            <w:r w:rsidRPr="00CC5DBD">
              <w:rPr>
                <w:rFonts w:ascii="Times New Roman" w:eastAsia="NSimSun" w:hAnsi="Times New Roman" w:cs="Arial"/>
                <w:kern w:val="2"/>
                <w:sz w:val="20"/>
                <w:szCs w:val="20"/>
                <w:lang w:eastAsia="zh-CN" w:bidi="hi-IN"/>
              </w:rPr>
              <w:t>Annulation totale de la dépréciation</w:t>
            </w:r>
            <w:r>
              <w:rPr>
                <w:rFonts w:ascii="Times New Roman" w:eastAsia="NSimSun" w:hAnsi="Times New Roman" w:cs="Arial"/>
                <w:kern w:val="2"/>
                <w:sz w:val="20"/>
                <w:szCs w:val="20"/>
                <w:lang w:eastAsia="zh-CN" w:bidi="hi-IN"/>
              </w:rPr>
              <w:t xml:space="preserve"> N-1</w:t>
            </w:r>
          </w:p>
        </w:tc>
        <w:tc>
          <w:tcPr>
            <w:tcW w:w="1560" w:type="dxa"/>
            <w:tcBorders>
              <w:top w:val="single" w:sz="2" w:space="0" w:color="000000"/>
              <w:left w:val="single" w:sz="2" w:space="0" w:color="000000"/>
              <w:bottom w:val="single" w:sz="2" w:space="0" w:color="000000"/>
            </w:tcBorders>
            <w:shd w:val="clear" w:color="auto" w:fill="auto"/>
          </w:tcPr>
          <w:p w14:paraId="246DAE7E"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1ECBD0A5" w14:textId="77777777" w:rsidR="00880A2E" w:rsidRPr="00CC5DBD" w:rsidRDefault="00880A2E" w:rsidP="00DF3AF5">
            <w:pPr>
              <w:suppressLineNumbers/>
              <w:spacing w:after="0" w:line="240" w:lineRule="auto"/>
              <w:rPr>
                <w:rFonts w:ascii="Times New Roman" w:eastAsia="NSimSun" w:hAnsi="Times New Roman" w:cs="Arial"/>
                <w:kern w:val="2"/>
                <w:sz w:val="16"/>
                <w:szCs w:val="16"/>
                <w:lang w:eastAsia="zh-CN" w:bidi="hi-IN"/>
              </w:rPr>
            </w:pPr>
            <w:r w:rsidRPr="00C16E56">
              <w:rPr>
                <w:rFonts w:ascii="Times New Roman" w:eastAsia="NSimSun" w:hAnsi="Times New Roman" w:cs="Arial"/>
                <w:kern w:val="2"/>
                <w:sz w:val="16"/>
                <w:szCs w:val="16"/>
                <w:lang w:eastAsia="zh-CN" w:bidi="hi-IN"/>
              </w:rPr>
              <w:t>Mt dépréciations N-1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0C101E9D" w14:textId="77777777" w:rsidR="00880A2E" w:rsidRDefault="00880A2E" w:rsidP="00DF3AF5">
            <w:pPr>
              <w:suppressLineNumbers/>
              <w:spacing w:after="0" w:line="240" w:lineRule="auto"/>
              <w:rPr>
                <w:rFonts w:ascii="Times New Roman" w:eastAsia="NSimSun" w:hAnsi="Times New Roman" w:cs="Arial"/>
                <w:kern w:val="2"/>
                <w:sz w:val="24"/>
                <w:szCs w:val="24"/>
                <w:lang w:eastAsia="zh-CN" w:bidi="hi-IN"/>
              </w:rPr>
            </w:pPr>
          </w:p>
          <w:p w14:paraId="61732A40"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1A28C274"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16E56">
              <w:rPr>
                <w:rFonts w:ascii="Times New Roman" w:eastAsia="NSimSun" w:hAnsi="Times New Roman" w:cs="Arial"/>
                <w:kern w:val="2"/>
                <w:sz w:val="16"/>
                <w:szCs w:val="16"/>
                <w:lang w:eastAsia="zh-CN" w:bidi="hi-IN"/>
              </w:rPr>
              <w:t>Mt dépréciations N-</w:t>
            </w:r>
            <w:r>
              <w:rPr>
                <w:rFonts w:ascii="Times New Roman" w:eastAsia="NSimSun" w:hAnsi="Times New Roman" w:cs="Arial"/>
                <w:kern w:val="2"/>
                <w:sz w:val="16"/>
                <w:szCs w:val="16"/>
                <w:lang w:eastAsia="zh-CN" w:bidi="hi-IN"/>
              </w:rPr>
              <w:t>1</w:t>
            </w:r>
          </w:p>
          <w:p w14:paraId="28B89084"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tc>
      </w:tr>
    </w:tbl>
    <w:p w14:paraId="78F3EC9D" w14:textId="77777777" w:rsidR="00880A2E" w:rsidRDefault="00880A2E" w:rsidP="00880A2E">
      <w:pPr>
        <w:spacing w:after="0"/>
        <w:rPr>
          <w:rFonts w:ascii="Times New Roman" w:hAnsi="Times New Roman" w:cs="Times New Roman"/>
          <w:b/>
          <w:sz w:val="24"/>
          <w:szCs w:val="24"/>
          <w:u w:val="single"/>
        </w:rPr>
      </w:pPr>
    </w:p>
    <w:p w14:paraId="40C93C1F" w14:textId="0D2E16AD" w:rsidR="00880A2E" w:rsidRPr="00F83E57" w:rsidRDefault="00880A2E" w:rsidP="00880A2E">
      <w:r w:rsidRPr="00F83E57">
        <w:rPr>
          <w:u w:val="single"/>
        </w:rPr>
        <w:t>2</w:t>
      </w:r>
      <w:r w:rsidRPr="00F83E57">
        <w:rPr>
          <w:u w:val="single"/>
          <w:vertAlign w:val="superscript"/>
        </w:rPr>
        <w:t>e</w:t>
      </w:r>
      <w:r w:rsidRPr="00F83E57">
        <w:rPr>
          <w:u w:val="single"/>
        </w:rPr>
        <w:t xml:space="preserve"> étape</w:t>
      </w:r>
      <w:r>
        <w:t xml:space="preserve"> : </w:t>
      </w:r>
      <w:r w:rsidRPr="00F83E57">
        <w:t>dotation aux dépréciations sur le</w:t>
      </w:r>
      <w:r>
        <w:t>s</w:t>
      </w:r>
      <w:r w:rsidRPr="00F83E57">
        <w:t xml:space="preserve"> stocks finaux</w:t>
      </w:r>
      <w:r>
        <w:t xml:space="preserve"> (fin N)</w:t>
      </w:r>
    </w:p>
    <w:tbl>
      <w:tblPr>
        <w:tblW w:w="9638" w:type="dxa"/>
        <w:tblBorders>
          <w:top w:val="single" w:sz="2" w:space="0" w:color="000000"/>
          <w:left w:val="single" w:sz="2" w:space="0" w:color="000000"/>
          <w:bottom w:val="single" w:sz="2" w:space="0" w:color="000000"/>
          <w:insideH w:val="single" w:sz="2" w:space="0" w:color="000000"/>
        </w:tblBorders>
        <w:tblLayout w:type="fixed"/>
        <w:tblCellMar>
          <w:top w:w="55" w:type="dxa"/>
          <w:left w:w="53" w:type="dxa"/>
          <w:bottom w:w="55" w:type="dxa"/>
          <w:right w:w="55" w:type="dxa"/>
        </w:tblCellMar>
        <w:tblLook w:val="0000" w:firstRow="0" w:lastRow="0" w:firstColumn="0" w:lastColumn="0" w:noHBand="0" w:noVBand="0"/>
      </w:tblPr>
      <w:tblGrid>
        <w:gridCol w:w="620"/>
        <w:gridCol w:w="567"/>
        <w:gridCol w:w="5103"/>
        <w:gridCol w:w="1560"/>
        <w:gridCol w:w="1788"/>
      </w:tblGrid>
      <w:tr w:rsidR="00880A2E" w:rsidRPr="00CC5DBD" w14:paraId="689F20B3" w14:textId="77777777" w:rsidTr="00DF3AF5">
        <w:tc>
          <w:tcPr>
            <w:tcW w:w="620" w:type="dxa"/>
            <w:tcBorders>
              <w:top w:val="single" w:sz="2" w:space="0" w:color="000000"/>
              <w:left w:val="single" w:sz="2" w:space="0" w:color="000000"/>
              <w:bottom w:val="single" w:sz="2" w:space="0" w:color="000000"/>
            </w:tcBorders>
            <w:shd w:val="clear" w:color="auto" w:fill="auto"/>
          </w:tcPr>
          <w:p w14:paraId="0314391F"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39E01528"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681</w:t>
            </w:r>
          </w:p>
        </w:tc>
        <w:tc>
          <w:tcPr>
            <w:tcW w:w="567" w:type="dxa"/>
            <w:tcBorders>
              <w:top w:val="single" w:sz="2" w:space="0" w:color="000000"/>
              <w:left w:val="single" w:sz="2" w:space="0" w:color="000000"/>
              <w:bottom w:val="single" w:sz="2" w:space="0" w:color="000000"/>
            </w:tcBorders>
            <w:shd w:val="clear" w:color="auto" w:fill="auto"/>
          </w:tcPr>
          <w:p w14:paraId="64987087"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4721E972"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7B05A4A9"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39</w:t>
            </w:r>
          </w:p>
        </w:tc>
        <w:tc>
          <w:tcPr>
            <w:tcW w:w="5103" w:type="dxa"/>
            <w:tcBorders>
              <w:top w:val="single" w:sz="2" w:space="0" w:color="000000"/>
              <w:left w:val="single" w:sz="2" w:space="0" w:color="000000"/>
              <w:bottom w:val="single" w:sz="2" w:space="0" w:color="000000"/>
            </w:tcBorders>
            <w:shd w:val="clear" w:color="auto" w:fill="auto"/>
          </w:tcPr>
          <w:p w14:paraId="228AD6F7" w14:textId="77777777" w:rsidR="00880A2E" w:rsidRPr="00CC5DBD"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CC5DBD">
              <w:rPr>
                <w:rFonts w:ascii="Times New Roman" w:eastAsia="NSimSun" w:hAnsi="Times New Roman" w:cs="Arial"/>
                <w:kern w:val="2"/>
                <w:sz w:val="20"/>
                <w:szCs w:val="20"/>
                <w:lang w:eastAsia="zh-CN" w:bidi="hi-IN"/>
              </w:rPr>
              <w:t>31/12/N</w:t>
            </w:r>
          </w:p>
          <w:p w14:paraId="4365870A" w14:textId="77777777" w:rsidR="00880A2E" w:rsidRPr="00CC5DBD" w:rsidRDefault="00880A2E" w:rsidP="00DF3AF5">
            <w:pPr>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b/>
                <w:bCs/>
                <w:kern w:val="2"/>
                <w:sz w:val="24"/>
                <w:szCs w:val="24"/>
                <w:lang w:eastAsia="zh-CN" w:bidi="hi-IN"/>
              </w:rPr>
              <w:t>Dotations</w:t>
            </w:r>
            <w:r w:rsidRPr="00CC5DBD">
              <w:rPr>
                <w:rFonts w:ascii="Times New Roman" w:eastAsia="NSimSun" w:hAnsi="Times New Roman" w:cs="Arial"/>
                <w:kern w:val="2"/>
                <w:sz w:val="24"/>
                <w:szCs w:val="24"/>
                <w:lang w:eastAsia="zh-CN" w:bidi="hi-IN"/>
              </w:rPr>
              <w:t xml:space="preserve"> aux amortissements et dépréciations</w:t>
            </w:r>
          </w:p>
          <w:p w14:paraId="28FA6526" w14:textId="77777777" w:rsidR="00880A2E" w:rsidRPr="00CC5DBD" w:rsidRDefault="00880A2E" w:rsidP="00DF3AF5">
            <w:pPr>
              <w:spacing w:after="0" w:line="240" w:lineRule="auto"/>
              <w:rPr>
                <w:rFonts w:ascii="Times New Roman" w:eastAsia="NSimSun" w:hAnsi="Times New Roman" w:cs="Arial"/>
                <w:kern w:val="2"/>
                <w:sz w:val="24"/>
                <w:szCs w:val="24"/>
                <w:lang w:eastAsia="zh-CN" w:bidi="hi-IN"/>
              </w:rPr>
            </w:pPr>
            <w:r w:rsidRPr="00CC5DBD">
              <w:rPr>
                <w:rFonts w:ascii="Times New Roman" w:eastAsia="NSimSun" w:hAnsi="Times New Roman" w:cs="Arial"/>
                <w:kern w:val="2"/>
                <w:sz w:val="24"/>
                <w:szCs w:val="24"/>
                <w:lang w:eastAsia="zh-CN" w:bidi="hi-IN"/>
              </w:rPr>
              <w:tab/>
              <w:t xml:space="preserve">Dépréciations des </w:t>
            </w:r>
            <w:r>
              <w:rPr>
                <w:rFonts w:ascii="Times New Roman" w:eastAsia="NSimSun" w:hAnsi="Times New Roman" w:cs="Arial"/>
                <w:kern w:val="2"/>
                <w:sz w:val="24"/>
                <w:szCs w:val="24"/>
                <w:lang w:eastAsia="zh-CN" w:bidi="hi-IN"/>
              </w:rPr>
              <w:t>stocks</w:t>
            </w:r>
          </w:p>
          <w:p w14:paraId="29072677" w14:textId="77777777" w:rsidR="00880A2E" w:rsidRPr="00CC5DBD" w:rsidRDefault="00880A2E" w:rsidP="00DF3AF5">
            <w:pPr>
              <w:spacing w:after="0" w:line="240" w:lineRule="auto"/>
              <w:rPr>
                <w:rFonts w:ascii="Times New Roman" w:eastAsia="NSimSun" w:hAnsi="Times New Roman" w:cs="Arial"/>
                <w:kern w:val="2"/>
                <w:sz w:val="20"/>
                <w:szCs w:val="20"/>
                <w:lang w:eastAsia="zh-CN" w:bidi="hi-IN"/>
              </w:rPr>
            </w:pPr>
            <w:r w:rsidRPr="00CC5DBD">
              <w:rPr>
                <w:rFonts w:ascii="Times New Roman" w:eastAsia="NSimSun" w:hAnsi="Times New Roman" w:cs="Arial"/>
                <w:kern w:val="2"/>
                <w:sz w:val="20"/>
                <w:szCs w:val="20"/>
                <w:lang w:eastAsia="zh-CN" w:bidi="hi-IN"/>
              </w:rPr>
              <w:t>Constatation de la dépréciation N</w:t>
            </w:r>
          </w:p>
        </w:tc>
        <w:tc>
          <w:tcPr>
            <w:tcW w:w="1560" w:type="dxa"/>
            <w:tcBorders>
              <w:top w:val="single" w:sz="2" w:space="0" w:color="000000"/>
              <w:left w:val="single" w:sz="2" w:space="0" w:color="000000"/>
              <w:bottom w:val="single" w:sz="2" w:space="0" w:color="000000"/>
            </w:tcBorders>
            <w:shd w:val="clear" w:color="auto" w:fill="auto"/>
          </w:tcPr>
          <w:p w14:paraId="125B7DE6"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5AF98BC9"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16"/>
                <w:szCs w:val="16"/>
                <w:lang w:eastAsia="zh-CN" w:bidi="hi-IN"/>
              </w:rPr>
              <w:t>Mt dépréciations N</w:t>
            </w:r>
          </w:p>
        </w:tc>
        <w:tc>
          <w:tcPr>
            <w:tcW w:w="1788" w:type="dxa"/>
            <w:tcBorders>
              <w:top w:val="single" w:sz="2" w:space="0" w:color="000000"/>
              <w:left w:val="single" w:sz="2" w:space="0" w:color="000000"/>
              <w:bottom w:val="single" w:sz="2" w:space="0" w:color="000000"/>
              <w:right w:val="single" w:sz="2" w:space="0" w:color="000000"/>
            </w:tcBorders>
            <w:shd w:val="clear" w:color="auto" w:fill="auto"/>
          </w:tcPr>
          <w:p w14:paraId="327496CE"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p w14:paraId="3DCA2F2F" w14:textId="77777777" w:rsidR="00880A2E" w:rsidRDefault="00880A2E" w:rsidP="00DF3AF5">
            <w:pPr>
              <w:suppressLineNumbers/>
              <w:spacing w:after="0" w:line="240" w:lineRule="auto"/>
              <w:rPr>
                <w:rFonts w:ascii="Times New Roman" w:eastAsia="NSimSun" w:hAnsi="Times New Roman" w:cs="Arial"/>
                <w:kern w:val="2"/>
                <w:sz w:val="24"/>
                <w:szCs w:val="24"/>
                <w:lang w:eastAsia="zh-CN" w:bidi="hi-IN"/>
              </w:rPr>
            </w:pPr>
          </w:p>
          <w:p w14:paraId="1080E975"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16"/>
                <w:szCs w:val="16"/>
                <w:lang w:eastAsia="zh-CN" w:bidi="hi-IN"/>
              </w:rPr>
              <w:t>Mt dépréciations N</w:t>
            </w:r>
          </w:p>
          <w:p w14:paraId="3C88D6A4" w14:textId="77777777" w:rsidR="00880A2E" w:rsidRPr="00CC5DBD" w:rsidRDefault="00880A2E" w:rsidP="00DF3AF5">
            <w:pPr>
              <w:suppressLineNumbers/>
              <w:spacing w:after="0" w:line="240" w:lineRule="auto"/>
              <w:rPr>
                <w:rFonts w:ascii="Times New Roman" w:eastAsia="NSimSun" w:hAnsi="Times New Roman" w:cs="Arial"/>
                <w:kern w:val="2"/>
                <w:sz w:val="24"/>
                <w:szCs w:val="24"/>
                <w:lang w:eastAsia="zh-CN" w:bidi="hi-IN"/>
              </w:rPr>
            </w:pPr>
          </w:p>
        </w:tc>
      </w:tr>
    </w:tbl>
    <w:p w14:paraId="3BB66C0A" w14:textId="77777777" w:rsidR="00880A2E" w:rsidRDefault="00880A2E" w:rsidP="00880A2E">
      <w:pPr>
        <w:spacing w:after="0"/>
        <w:rPr>
          <w:rFonts w:ascii="Times New Roman" w:hAnsi="Times New Roman" w:cs="Times New Roman"/>
          <w:b/>
          <w:sz w:val="24"/>
          <w:szCs w:val="24"/>
          <w:u w:val="single"/>
        </w:rPr>
      </w:pPr>
    </w:p>
    <w:p w14:paraId="605B7C85" w14:textId="6A7E69A7" w:rsidR="00880A2E" w:rsidRDefault="00880A2E" w:rsidP="00880A2E">
      <w:pPr>
        <w:pStyle w:val="Titre3"/>
      </w:pPr>
      <w:r w:rsidRPr="00F83E57">
        <w:tab/>
        <w:t>La</w:t>
      </w:r>
      <w:r w:rsidRPr="00CC5DBD">
        <w:t xml:space="preserve"> </w:t>
      </w:r>
      <w:r>
        <w:t xml:space="preserve">comptabilisation de la </w:t>
      </w:r>
      <w:r w:rsidRPr="00F83E57">
        <w:t>dépréciations de créances clients</w:t>
      </w:r>
    </w:p>
    <w:p w14:paraId="0BC6804A" w14:textId="33BB099D" w:rsidR="00880A2E" w:rsidRPr="00770B1D" w:rsidRDefault="00880A2E" w:rsidP="00880A2E">
      <w:pPr>
        <w:rPr>
          <w:b/>
        </w:rPr>
      </w:pPr>
      <w:r w:rsidRPr="001A7A5E">
        <w:t>Il peut exister un risque de non-paiement de la part d’un client</w:t>
      </w:r>
      <w:r>
        <w:t xml:space="preserve">. </w:t>
      </w:r>
      <w:r w:rsidRPr="001A7A5E">
        <w:t>Le client pouvant être amené à régler plus tard, le risque est réversible</w:t>
      </w:r>
      <w:r>
        <w:t>.</w:t>
      </w:r>
      <w:r w:rsidRPr="001A7A5E">
        <w:t xml:space="preserve"> On doit constater une dépréciation, qui va être réajusté à la clôture des exercices suivants</w:t>
      </w:r>
      <w:r>
        <w:t>.</w:t>
      </w:r>
    </w:p>
    <w:p w14:paraId="78232A2D" w14:textId="185B5F06" w:rsidR="00880A2E" w:rsidRPr="001A7A5E" w:rsidRDefault="00880A2E" w:rsidP="00880A2E">
      <w:r w:rsidRPr="001A7A5E">
        <w:t>La créance peut être définitivement perdue</w:t>
      </w:r>
      <w:r>
        <w:t>,</w:t>
      </w:r>
      <w:r w:rsidRPr="001A7A5E">
        <w:t xml:space="preserve"> il faut alors enregistrer la perte subie et la récupération de la TVA payée à l’</w:t>
      </w:r>
      <w:r>
        <w:t>É</w:t>
      </w:r>
      <w:r w:rsidRPr="001A7A5E">
        <w:t>tat</w:t>
      </w:r>
      <w:r>
        <w:t>.</w:t>
      </w:r>
    </w:p>
    <w:p w14:paraId="7815FDA0" w14:textId="77777777" w:rsidR="00880A2E" w:rsidRPr="00E87939" w:rsidRDefault="00880A2E" w:rsidP="00880A2E">
      <w:pPr>
        <w:rPr>
          <w:lang w:eastAsia="zh-CN" w:bidi="hi-IN"/>
        </w:rPr>
      </w:pPr>
      <w:r w:rsidRPr="00E87939">
        <w:rPr>
          <w:bCs/>
          <w:u w:val="single"/>
          <w:lang w:eastAsia="zh-CN" w:bidi="hi-IN"/>
        </w:rPr>
        <w:t>1</w:t>
      </w:r>
      <w:r w:rsidRPr="00E87939">
        <w:rPr>
          <w:bCs/>
          <w:u w:val="single"/>
          <w:vertAlign w:val="superscript"/>
          <w:lang w:eastAsia="zh-CN" w:bidi="hi-IN"/>
        </w:rPr>
        <w:t>re</w:t>
      </w:r>
      <w:r w:rsidRPr="00E87939">
        <w:rPr>
          <w:bCs/>
          <w:u w:val="single"/>
          <w:lang w:eastAsia="zh-CN" w:bidi="hi-IN"/>
        </w:rPr>
        <w:t xml:space="preserve"> étape</w:t>
      </w:r>
      <w:r w:rsidRPr="00E87939">
        <w:rPr>
          <w:lang w:eastAsia="zh-CN" w:bidi="hi-IN"/>
        </w:rPr>
        <w:t xml:space="preserve"> : Transférez la créance TTC des </w:t>
      </w:r>
      <w:r w:rsidRPr="00E87939">
        <w:rPr>
          <w:b/>
          <w:bCs/>
          <w:lang w:eastAsia="zh-CN" w:bidi="hi-IN"/>
        </w:rPr>
        <w:t>nouveaux clients douteux</w:t>
      </w:r>
      <w:r w:rsidRPr="00E87939">
        <w:rPr>
          <w:lang w:eastAsia="zh-CN" w:bidi="hi-IN"/>
        </w:rPr>
        <w:t>, dans un compte distinct (416 Client douteux).</w:t>
      </w:r>
    </w:p>
    <w:tbl>
      <w:tblPr>
        <w:tblW w:w="9976" w:type="dxa"/>
        <w:tblBorders>
          <w:top w:val="single" w:sz="2" w:space="0" w:color="000000"/>
          <w:left w:val="single" w:sz="2" w:space="0" w:color="000000"/>
          <w:bottom w:val="single" w:sz="2" w:space="0" w:color="000000"/>
          <w:insideH w:val="single" w:sz="2" w:space="0" w:color="000000"/>
        </w:tblBorders>
        <w:tblLayout w:type="fixed"/>
        <w:tblCellMar>
          <w:top w:w="55" w:type="dxa"/>
          <w:left w:w="53" w:type="dxa"/>
          <w:bottom w:w="55" w:type="dxa"/>
          <w:right w:w="55" w:type="dxa"/>
        </w:tblCellMar>
        <w:tblLook w:val="0000" w:firstRow="0" w:lastRow="0" w:firstColumn="0" w:lastColumn="0" w:noHBand="0" w:noVBand="0"/>
      </w:tblPr>
      <w:tblGrid>
        <w:gridCol w:w="762"/>
        <w:gridCol w:w="851"/>
        <w:gridCol w:w="4819"/>
        <w:gridCol w:w="1701"/>
        <w:gridCol w:w="1843"/>
      </w:tblGrid>
      <w:tr w:rsidR="00880A2E" w:rsidRPr="00E87939" w14:paraId="416F8F53" w14:textId="77777777" w:rsidTr="00DF3AF5">
        <w:tc>
          <w:tcPr>
            <w:tcW w:w="762" w:type="dxa"/>
            <w:tcBorders>
              <w:top w:val="single" w:sz="2" w:space="0" w:color="000000"/>
              <w:left w:val="single" w:sz="2" w:space="0" w:color="000000"/>
              <w:bottom w:val="single" w:sz="2" w:space="0" w:color="000000"/>
            </w:tcBorders>
            <w:shd w:val="clear" w:color="auto" w:fill="auto"/>
          </w:tcPr>
          <w:p w14:paraId="7EAFD7EF"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3AFBF2EC"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416</w:t>
            </w:r>
          </w:p>
          <w:p w14:paraId="6EA30E64"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tc>
        <w:tc>
          <w:tcPr>
            <w:tcW w:w="851" w:type="dxa"/>
            <w:tcBorders>
              <w:top w:val="single" w:sz="2" w:space="0" w:color="000000"/>
              <w:left w:val="single" w:sz="2" w:space="0" w:color="000000"/>
              <w:bottom w:val="single" w:sz="2" w:space="0" w:color="000000"/>
            </w:tcBorders>
            <w:shd w:val="clear" w:color="auto" w:fill="auto"/>
          </w:tcPr>
          <w:p w14:paraId="006BF730"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48F68C6F"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3576474E"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411</w:t>
            </w:r>
          </w:p>
        </w:tc>
        <w:tc>
          <w:tcPr>
            <w:tcW w:w="4819" w:type="dxa"/>
            <w:tcBorders>
              <w:top w:val="single" w:sz="2" w:space="0" w:color="000000"/>
              <w:left w:val="single" w:sz="2" w:space="0" w:color="000000"/>
              <w:bottom w:val="single" w:sz="2" w:space="0" w:color="000000"/>
            </w:tcBorders>
            <w:shd w:val="clear" w:color="auto" w:fill="auto"/>
          </w:tcPr>
          <w:p w14:paraId="159A5D7F"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31/12/N</w:t>
            </w:r>
          </w:p>
          <w:p w14:paraId="5E0182AA"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Client douteux</w:t>
            </w:r>
          </w:p>
          <w:p w14:paraId="7AFE9011"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ab/>
              <w:t>Client</w:t>
            </w:r>
          </w:p>
          <w:p w14:paraId="12E9D3FD" w14:textId="77777777" w:rsidR="00880A2E" w:rsidRPr="00E87939" w:rsidRDefault="00880A2E" w:rsidP="00DF3AF5">
            <w:pPr>
              <w:suppressLineNumbers/>
              <w:spacing w:after="0" w:line="240" w:lineRule="auto"/>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Nouveau client douteux</w:t>
            </w:r>
            <w:r w:rsidRPr="00E87939">
              <w:rPr>
                <w:rFonts w:ascii="Times New Roman" w:eastAsia="NSimSun" w:hAnsi="Times New Roman" w:cs="Arial"/>
                <w:b/>
                <w:bCs/>
                <w:kern w:val="2"/>
                <w:sz w:val="20"/>
                <w:szCs w:val="20"/>
                <w:lang w:eastAsia="zh-CN" w:bidi="hi-IN"/>
              </w:rPr>
              <w:t xml:space="preserve"> </w:t>
            </w:r>
            <w:r>
              <w:rPr>
                <w:rFonts w:ascii="Times New Roman" w:eastAsia="NSimSun" w:hAnsi="Times New Roman" w:cs="Arial"/>
                <w:b/>
                <w:bCs/>
                <w:kern w:val="2"/>
                <w:sz w:val="20"/>
                <w:szCs w:val="20"/>
                <w:lang w:eastAsia="zh-CN" w:bidi="hi-IN"/>
              </w:rPr>
              <w:t>Y</w:t>
            </w:r>
          </w:p>
        </w:tc>
        <w:tc>
          <w:tcPr>
            <w:tcW w:w="1701" w:type="dxa"/>
            <w:tcBorders>
              <w:top w:val="single" w:sz="2" w:space="0" w:color="000000"/>
              <w:left w:val="single" w:sz="2" w:space="0" w:color="000000"/>
              <w:bottom w:val="single" w:sz="2" w:space="0" w:color="000000"/>
            </w:tcBorders>
            <w:shd w:val="clear" w:color="auto" w:fill="auto"/>
          </w:tcPr>
          <w:p w14:paraId="2F765579"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highlight w:val="yellow"/>
                <w:lang w:eastAsia="zh-CN" w:bidi="hi-IN"/>
              </w:rPr>
            </w:pPr>
          </w:p>
          <w:p w14:paraId="69B9BE26" w14:textId="77777777" w:rsidR="00880A2E" w:rsidRPr="00E87939" w:rsidRDefault="00880A2E" w:rsidP="00DF3AF5">
            <w:pPr>
              <w:suppressLineNumbers/>
              <w:spacing w:after="0" w:line="240" w:lineRule="auto"/>
              <w:rPr>
                <w:rFonts w:ascii="Times New Roman" w:eastAsia="NSimSun" w:hAnsi="Times New Roman" w:cs="Arial"/>
                <w:kern w:val="2"/>
                <w:sz w:val="20"/>
                <w:szCs w:val="20"/>
                <w:highlight w:val="yellow"/>
                <w:lang w:eastAsia="zh-CN" w:bidi="hi-IN"/>
              </w:rPr>
            </w:pPr>
            <w:r w:rsidRPr="008123CD">
              <w:rPr>
                <w:rFonts w:ascii="Times New Roman" w:eastAsia="NSimSun" w:hAnsi="Times New Roman" w:cs="Arial"/>
                <w:kern w:val="2"/>
                <w:sz w:val="20"/>
                <w:szCs w:val="20"/>
                <w:lang w:eastAsia="zh-CN" w:bidi="hi-IN"/>
              </w:rPr>
              <w:t>Créances TTC</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5C0A4AE"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1A7A57C4"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highlight w:val="yellow"/>
                <w:lang w:eastAsia="zh-CN" w:bidi="hi-IN"/>
              </w:rPr>
            </w:pPr>
          </w:p>
          <w:p w14:paraId="6285C8A7"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highlight w:val="yellow"/>
                <w:lang w:eastAsia="zh-CN" w:bidi="hi-IN"/>
              </w:rPr>
            </w:pPr>
            <w:r w:rsidRPr="008123CD">
              <w:rPr>
                <w:rFonts w:ascii="Times New Roman" w:eastAsia="NSimSun" w:hAnsi="Times New Roman" w:cs="Arial"/>
                <w:kern w:val="2"/>
                <w:sz w:val="20"/>
                <w:szCs w:val="20"/>
                <w:lang w:eastAsia="zh-CN" w:bidi="hi-IN"/>
              </w:rPr>
              <w:t>Créances TTC</w:t>
            </w:r>
          </w:p>
        </w:tc>
      </w:tr>
    </w:tbl>
    <w:p w14:paraId="6FDA4921" w14:textId="77777777" w:rsidR="00880A2E" w:rsidRPr="00E87939" w:rsidRDefault="00880A2E" w:rsidP="00880A2E">
      <w:pPr>
        <w:spacing w:after="0" w:line="240" w:lineRule="auto"/>
        <w:rPr>
          <w:rFonts w:ascii="Times New Roman" w:eastAsia="NSimSun" w:hAnsi="Times New Roman" w:cs="Arial"/>
          <w:b/>
          <w:bCs/>
          <w:color w:val="000000"/>
          <w:kern w:val="2"/>
          <w:sz w:val="24"/>
          <w:szCs w:val="24"/>
          <w:u w:val="single"/>
          <w:lang w:eastAsia="zh-CN" w:bidi="hi-IN"/>
        </w:rPr>
      </w:pPr>
    </w:p>
    <w:p w14:paraId="243458FF" w14:textId="77777777" w:rsidR="00880A2E" w:rsidRPr="00E87939" w:rsidRDefault="00880A2E" w:rsidP="00880A2E">
      <w:pPr>
        <w:rPr>
          <w:lang w:eastAsia="zh-CN" w:bidi="hi-IN"/>
        </w:rPr>
      </w:pPr>
      <w:r w:rsidRPr="00E87939">
        <w:rPr>
          <w:bCs/>
          <w:u w:val="single"/>
          <w:lang w:eastAsia="zh-CN" w:bidi="hi-IN"/>
        </w:rPr>
        <w:lastRenderedPageBreak/>
        <w:t>2</w:t>
      </w:r>
      <w:r w:rsidRPr="00E87939">
        <w:rPr>
          <w:bCs/>
          <w:u w:val="single"/>
          <w:vertAlign w:val="superscript"/>
          <w:lang w:eastAsia="zh-CN" w:bidi="hi-IN"/>
        </w:rPr>
        <w:t>e</w:t>
      </w:r>
      <w:r w:rsidRPr="00E87939">
        <w:rPr>
          <w:bCs/>
          <w:u w:val="single"/>
          <w:lang w:eastAsia="zh-CN" w:bidi="hi-IN"/>
        </w:rPr>
        <w:t xml:space="preserve"> étape</w:t>
      </w:r>
      <w:r w:rsidRPr="00E87939">
        <w:rPr>
          <w:b/>
          <w:bCs/>
          <w:u w:val="single"/>
          <w:lang w:eastAsia="zh-CN" w:bidi="hi-IN"/>
        </w:rPr>
        <w:t> </w:t>
      </w:r>
      <w:r w:rsidRPr="00E87939">
        <w:rPr>
          <w:lang w:eastAsia="zh-CN" w:bidi="hi-IN"/>
        </w:rPr>
        <w:t>: Enregistrez dans le journal les dotations aux dépréciations des comptes clients.</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762"/>
        <w:gridCol w:w="851"/>
        <w:gridCol w:w="5670"/>
        <w:gridCol w:w="1134"/>
        <w:gridCol w:w="1221"/>
      </w:tblGrid>
      <w:tr w:rsidR="00880A2E" w:rsidRPr="00E87939" w14:paraId="23C8C0E3" w14:textId="77777777" w:rsidTr="00DF3AF5">
        <w:tc>
          <w:tcPr>
            <w:tcW w:w="762" w:type="dxa"/>
            <w:tcBorders>
              <w:top w:val="single" w:sz="2" w:space="0" w:color="000000"/>
              <w:left w:val="single" w:sz="2" w:space="0" w:color="000000"/>
              <w:bottom w:val="single" w:sz="2" w:space="0" w:color="000000"/>
            </w:tcBorders>
            <w:shd w:val="clear" w:color="auto" w:fill="auto"/>
          </w:tcPr>
          <w:p w14:paraId="0746F898"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48BB9D69"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681</w:t>
            </w:r>
          </w:p>
        </w:tc>
        <w:tc>
          <w:tcPr>
            <w:tcW w:w="851" w:type="dxa"/>
            <w:tcBorders>
              <w:top w:val="single" w:sz="2" w:space="0" w:color="000000"/>
              <w:left w:val="single" w:sz="2" w:space="0" w:color="000000"/>
              <w:bottom w:val="single" w:sz="2" w:space="0" w:color="000000"/>
            </w:tcBorders>
            <w:shd w:val="clear" w:color="auto" w:fill="auto"/>
          </w:tcPr>
          <w:p w14:paraId="609295D7"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728B4AFE"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64C8F612"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4911</w:t>
            </w:r>
          </w:p>
        </w:tc>
        <w:tc>
          <w:tcPr>
            <w:tcW w:w="5670" w:type="dxa"/>
            <w:tcBorders>
              <w:top w:val="single" w:sz="2" w:space="0" w:color="000000"/>
              <w:left w:val="single" w:sz="2" w:space="0" w:color="000000"/>
              <w:bottom w:val="single" w:sz="2" w:space="0" w:color="000000"/>
            </w:tcBorders>
            <w:shd w:val="clear" w:color="auto" w:fill="auto"/>
          </w:tcPr>
          <w:p w14:paraId="0C94FDDD"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31/12/N</w:t>
            </w:r>
          </w:p>
          <w:p w14:paraId="4ADBBB49" w14:textId="4B7D1678"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Dotations aux amort</w:t>
            </w:r>
            <w:r w:rsidR="00A742CC">
              <w:rPr>
                <w:rFonts w:ascii="Times New Roman" w:eastAsia="NSimSun" w:hAnsi="Times New Roman" w:cs="Arial"/>
                <w:kern w:val="2"/>
                <w:sz w:val="24"/>
                <w:szCs w:val="24"/>
                <w:lang w:eastAsia="zh-CN" w:bidi="hi-IN"/>
              </w:rPr>
              <w:t>issements</w:t>
            </w:r>
            <w:r w:rsidRPr="00E87939">
              <w:rPr>
                <w:rFonts w:ascii="Times New Roman" w:eastAsia="NSimSun" w:hAnsi="Times New Roman" w:cs="Arial"/>
                <w:kern w:val="2"/>
                <w:sz w:val="24"/>
                <w:szCs w:val="24"/>
                <w:lang w:eastAsia="zh-CN" w:bidi="hi-IN"/>
              </w:rPr>
              <w:t xml:space="preserve"> et dépréciations</w:t>
            </w:r>
          </w:p>
          <w:p w14:paraId="6AACBB9B"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ab/>
              <w:t>Dépréciations des comptes clients</w:t>
            </w:r>
          </w:p>
          <w:p w14:paraId="7FA60C36"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C</w:t>
            </w:r>
            <w:r w:rsidRPr="00E87939">
              <w:rPr>
                <w:rFonts w:ascii="Times New Roman" w:eastAsia="NSimSun" w:hAnsi="Times New Roman" w:cs="Arial"/>
                <w:kern w:val="2"/>
                <w:sz w:val="24"/>
                <w:szCs w:val="24"/>
                <w:lang w:eastAsia="zh-CN" w:bidi="hi-IN"/>
              </w:rPr>
              <w:t xml:space="preserve">lient </w:t>
            </w:r>
            <w:r>
              <w:rPr>
                <w:rFonts w:ascii="Times New Roman" w:eastAsia="NSimSun" w:hAnsi="Times New Roman" w:cs="Arial"/>
                <w:kern w:val="2"/>
                <w:sz w:val="24"/>
                <w:szCs w:val="24"/>
                <w:lang w:eastAsia="zh-CN" w:bidi="hi-IN"/>
              </w:rPr>
              <w:t>Y</w:t>
            </w:r>
          </w:p>
        </w:tc>
        <w:tc>
          <w:tcPr>
            <w:tcW w:w="1134" w:type="dxa"/>
            <w:tcBorders>
              <w:top w:val="single" w:sz="2" w:space="0" w:color="000000"/>
              <w:left w:val="single" w:sz="2" w:space="0" w:color="000000"/>
              <w:bottom w:val="single" w:sz="2" w:space="0" w:color="000000"/>
            </w:tcBorders>
            <w:shd w:val="clear" w:color="auto" w:fill="auto"/>
          </w:tcPr>
          <w:p w14:paraId="202F6AD5"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5622208E"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8123CD">
              <w:rPr>
                <w:rFonts w:ascii="Times New Roman" w:eastAsia="NSimSun" w:hAnsi="Times New Roman" w:cs="Arial"/>
                <w:kern w:val="2"/>
                <w:sz w:val="20"/>
                <w:szCs w:val="20"/>
                <w:lang w:eastAsia="zh-CN" w:bidi="hi-IN"/>
              </w:rPr>
              <w:t>Dotation N</w:t>
            </w:r>
          </w:p>
        </w:tc>
        <w:tc>
          <w:tcPr>
            <w:tcW w:w="1221" w:type="dxa"/>
            <w:tcBorders>
              <w:top w:val="single" w:sz="2" w:space="0" w:color="000000"/>
              <w:left w:val="single" w:sz="2" w:space="0" w:color="000000"/>
              <w:bottom w:val="single" w:sz="2" w:space="0" w:color="000000"/>
              <w:right w:val="single" w:sz="2" w:space="0" w:color="000000"/>
            </w:tcBorders>
            <w:shd w:val="clear" w:color="auto" w:fill="auto"/>
          </w:tcPr>
          <w:p w14:paraId="7647C3BF"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3A2D6043" w14:textId="77777777" w:rsidR="00880A2E" w:rsidRPr="00E87939" w:rsidRDefault="00880A2E" w:rsidP="00DF3AF5">
            <w:pPr>
              <w:suppressLineNumbers/>
              <w:spacing w:after="0" w:line="240" w:lineRule="auto"/>
              <w:jc w:val="center"/>
              <w:rPr>
                <w:rFonts w:ascii="Times New Roman" w:eastAsia="NSimSun" w:hAnsi="Times New Roman" w:cs="Arial"/>
                <w:kern w:val="2"/>
                <w:sz w:val="24"/>
                <w:szCs w:val="24"/>
                <w:lang w:eastAsia="zh-CN" w:bidi="hi-IN"/>
              </w:rPr>
            </w:pPr>
          </w:p>
          <w:p w14:paraId="79D2B723"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8123CD">
              <w:rPr>
                <w:rFonts w:ascii="Times New Roman" w:eastAsia="NSimSun" w:hAnsi="Times New Roman" w:cs="Arial"/>
                <w:kern w:val="2"/>
                <w:sz w:val="20"/>
                <w:szCs w:val="20"/>
                <w:lang w:eastAsia="zh-CN" w:bidi="hi-IN"/>
              </w:rPr>
              <w:t>Dotation N</w:t>
            </w:r>
          </w:p>
        </w:tc>
      </w:tr>
    </w:tbl>
    <w:p w14:paraId="679C9203" w14:textId="77777777" w:rsidR="00880A2E" w:rsidRPr="00E87939" w:rsidRDefault="00880A2E" w:rsidP="00880A2E">
      <w:pPr>
        <w:spacing w:after="0" w:line="240" w:lineRule="auto"/>
        <w:rPr>
          <w:rFonts w:ascii="Times New Roman" w:eastAsia="NSimSun" w:hAnsi="Times New Roman" w:cs="Arial"/>
          <w:b/>
          <w:bCs/>
          <w:color w:val="000000"/>
          <w:kern w:val="2"/>
          <w:sz w:val="24"/>
          <w:szCs w:val="24"/>
          <w:u w:val="single"/>
          <w:lang w:eastAsia="zh-CN" w:bidi="hi-IN"/>
        </w:rPr>
      </w:pPr>
    </w:p>
    <w:p w14:paraId="7C9A7D37" w14:textId="77777777" w:rsidR="00880A2E" w:rsidRPr="00E87939" w:rsidRDefault="00880A2E" w:rsidP="00880A2E">
      <w:pPr>
        <w:rPr>
          <w:lang w:eastAsia="zh-CN" w:bidi="hi-IN"/>
        </w:rPr>
      </w:pPr>
      <w:r w:rsidRPr="00E87939">
        <w:rPr>
          <w:bCs/>
          <w:u w:val="single"/>
          <w:lang w:eastAsia="zh-CN" w:bidi="hi-IN"/>
        </w:rPr>
        <w:t>3</w:t>
      </w:r>
      <w:r w:rsidRPr="00E87939">
        <w:rPr>
          <w:bCs/>
          <w:u w:val="single"/>
          <w:vertAlign w:val="superscript"/>
          <w:lang w:eastAsia="zh-CN" w:bidi="hi-IN"/>
        </w:rPr>
        <w:t>e</w:t>
      </w:r>
      <w:r w:rsidRPr="00E87939">
        <w:rPr>
          <w:bCs/>
          <w:u w:val="single"/>
          <w:lang w:eastAsia="zh-CN" w:bidi="hi-IN"/>
        </w:rPr>
        <w:t xml:space="preserve"> étape</w:t>
      </w:r>
      <w:r w:rsidRPr="00E87939">
        <w:rPr>
          <w:b/>
          <w:bCs/>
          <w:u w:val="single"/>
          <w:lang w:eastAsia="zh-CN" w:bidi="hi-IN"/>
        </w:rPr>
        <w:t> </w:t>
      </w:r>
      <w:r w:rsidRPr="00E87939">
        <w:rPr>
          <w:lang w:eastAsia="zh-CN" w:bidi="hi-IN"/>
        </w:rPr>
        <w:t>: Enregistrez les reprises sur dépréciations des comptes clients.</w:t>
      </w:r>
    </w:p>
    <w:tbl>
      <w:tblPr>
        <w:tblW w:w="9580" w:type="dxa"/>
        <w:tblInd w:w="56"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706"/>
        <w:gridCol w:w="851"/>
        <w:gridCol w:w="5670"/>
        <w:gridCol w:w="1134"/>
        <w:gridCol w:w="1219"/>
      </w:tblGrid>
      <w:tr w:rsidR="00880A2E" w:rsidRPr="00E87939" w14:paraId="3261B998" w14:textId="77777777" w:rsidTr="00DF3AF5">
        <w:tc>
          <w:tcPr>
            <w:tcW w:w="706" w:type="dxa"/>
            <w:tcBorders>
              <w:top w:val="single" w:sz="2" w:space="0" w:color="000000"/>
              <w:left w:val="single" w:sz="2" w:space="0" w:color="000000"/>
              <w:bottom w:val="single" w:sz="2" w:space="0" w:color="000000"/>
            </w:tcBorders>
            <w:shd w:val="clear" w:color="auto" w:fill="auto"/>
          </w:tcPr>
          <w:p w14:paraId="4DC2980C"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3D4FE1F2"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4911</w:t>
            </w:r>
          </w:p>
        </w:tc>
        <w:tc>
          <w:tcPr>
            <w:tcW w:w="851" w:type="dxa"/>
            <w:tcBorders>
              <w:top w:val="single" w:sz="2" w:space="0" w:color="000000"/>
              <w:left w:val="single" w:sz="2" w:space="0" w:color="000000"/>
              <w:bottom w:val="single" w:sz="2" w:space="0" w:color="000000"/>
            </w:tcBorders>
            <w:shd w:val="clear" w:color="auto" w:fill="auto"/>
          </w:tcPr>
          <w:p w14:paraId="3C9BD5BC"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41635873"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1B4514BD"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781</w:t>
            </w:r>
          </w:p>
        </w:tc>
        <w:tc>
          <w:tcPr>
            <w:tcW w:w="5670" w:type="dxa"/>
            <w:tcBorders>
              <w:top w:val="single" w:sz="2" w:space="0" w:color="000000"/>
              <w:left w:val="single" w:sz="2" w:space="0" w:color="000000"/>
              <w:bottom w:val="single" w:sz="2" w:space="0" w:color="000000"/>
            </w:tcBorders>
            <w:shd w:val="clear" w:color="auto" w:fill="auto"/>
          </w:tcPr>
          <w:p w14:paraId="44394BC9"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31/12/N</w:t>
            </w:r>
          </w:p>
          <w:p w14:paraId="651D2F8A"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Dépréciations des comptes clients</w:t>
            </w:r>
          </w:p>
          <w:p w14:paraId="2BB5B2F3"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ab/>
              <w:t>Reprises sur dépréciations des comptes clients</w:t>
            </w:r>
          </w:p>
          <w:p w14:paraId="749EEABE"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Client</w:t>
            </w:r>
            <w:r w:rsidRPr="00E87939">
              <w:rPr>
                <w:rFonts w:ascii="Times New Roman" w:eastAsia="NSimSun" w:hAnsi="Times New Roman" w:cs="Arial"/>
                <w:kern w:val="2"/>
                <w:sz w:val="24"/>
                <w:szCs w:val="24"/>
                <w:lang w:eastAsia="zh-CN" w:bidi="hi-IN"/>
              </w:rPr>
              <w:t xml:space="preserve"> </w:t>
            </w:r>
            <w:r>
              <w:rPr>
                <w:rFonts w:ascii="Times New Roman" w:eastAsia="NSimSun" w:hAnsi="Times New Roman" w:cs="Arial"/>
                <w:kern w:val="2"/>
                <w:sz w:val="24"/>
                <w:szCs w:val="24"/>
                <w:lang w:eastAsia="zh-CN" w:bidi="hi-IN"/>
              </w:rPr>
              <w:t xml:space="preserve">X </w:t>
            </w:r>
          </w:p>
        </w:tc>
        <w:tc>
          <w:tcPr>
            <w:tcW w:w="1134" w:type="dxa"/>
            <w:tcBorders>
              <w:top w:val="single" w:sz="2" w:space="0" w:color="000000"/>
              <w:left w:val="single" w:sz="2" w:space="0" w:color="000000"/>
              <w:bottom w:val="single" w:sz="2" w:space="0" w:color="000000"/>
            </w:tcBorders>
            <w:shd w:val="clear" w:color="auto" w:fill="auto"/>
          </w:tcPr>
          <w:p w14:paraId="0FA06C65"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186B0B6D"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CD1858">
              <w:rPr>
                <w:rFonts w:ascii="Times New Roman" w:eastAsia="NSimSun" w:hAnsi="Times New Roman" w:cs="Arial"/>
                <w:kern w:val="2"/>
                <w:sz w:val="20"/>
                <w:szCs w:val="20"/>
                <w:lang w:eastAsia="zh-CN" w:bidi="hi-IN"/>
              </w:rPr>
              <w:t>Reprise N</w:t>
            </w:r>
          </w:p>
        </w:tc>
        <w:tc>
          <w:tcPr>
            <w:tcW w:w="1219" w:type="dxa"/>
            <w:tcBorders>
              <w:top w:val="single" w:sz="2" w:space="0" w:color="000000"/>
              <w:left w:val="single" w:sz="2" w:space="0" w:color="000000"/>
              <w:bottom w:val="single" w:sz="2" w:space="0" w:color="000000"/>
              <w:right w:val="single" w:sz="2" w:space="0" w:color="000000"/>
            </w:tcBorders>
            <w:shd w:val="clear" w:color="auto" w:fill="auto"/>
          </w:tcPr>
          <w:p w14:paraId="5DA218EE"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2EA3557A"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4B12FC31"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CD1858">
              <w:rPr>
                <w:rFonts w:ascii="Times New Roman" w:eastAsia="NSimSun" w:hAnsi="Times New Roman" w:cs="Arial"/>
                <w:kern w:val="2"/>
                <w:sz w:val="20"/>
                <w:szCs w:val="20"/>
                <w:lang w:eastAsia="zh-CN" w:bidi="hi-IN"/>
              </w:rPr>
              <w:t>Reprise N</w:t>
            </w:r>
          </w:p>
        </w:tc>
      </w:tr>
    </w:tbl>
    <w:p w14:paraId="6A19D53B" w14:textId="77777777" w:rsidR="00880A2E" w:rsidRPr="00E87939" w:rsidRDefault="00880A2E" w:rsidP="00880A2E">
      <w:pPr>
        <w:spacing w:after="0" w:line="240" w:lineRule="auto"/>
        <w:rPr>
          <w:rFonts w:ascii="Times New Roman" w:eastAsia="NSimSun" w:hAnsi="Times New Roman" w:cs="Arial"/>
          <w:b/>
          <w:bCs/>
          <w:color w:val="FF0000"/>
          <w:kern w:val="2"/>
          <w:sz w:val="26"/>
          <w:szCs w:val="26"/>
          <w:highlight w:val="yellow"/>
          <w:u w:val="single"/>
          <w:lang w:eastAsia="zh-CN" w:bidi="hi-IN"/>
        </w:rPr>
      </w:pPr>
    </w:p>
    <w:p w14:paraId="7C16308A" w14:textId="77777777" w:rsidR="00880A2E" w:rsidRPr="00E87939" w:rsidRDefault="00880A2E" w:rsidP="00880A2E">
      <w:pPr>
        <w:rPr>
          <w:b/>
          <w:bCs/>
          <w:lang w:eastAsia="zh-CN" w:bidi="hi-IN"/>
        </w:rPr>
      </w:pPr>
      <w:r w:rsidRPr="00E87939">
        <w:rPr>
          <w:bCs/>
          <w:u w:val="single"/>
          <w:lang w:eastAsia="zh-CN" w:bidi="hi-IN"/>
        </w:rPr>
        <w:t>4</w:t>
      </w:r>
      <w:r w:rsidRPr="00E87939">
        <w:rPr>
          <w:bCs/>
          <w:u w:val="single"/>
          <w:vertAlign w:val="superscript"/>
          <w:lang w:eastAsia="zh-CN" w:bidi="hi-IN"/>
        </w:rPr>
        <w:t>e</w:t>
      </w:r>
      <w:r w:rsidRPr="00E87939">
        <w:rPr>
          <w:bCs/>
          <w:u w:val="single"/>
          <w:lang w:eastAsia="zh-CN" w:bidi="hi-IN"/>
        </w:rPr>
        <w:t xml:space="preserve"> étape</w:t>
      </w:r>
      <w:r w:rsidRPr="00E87939">
        <w:rPr>
          <w:b/>
          <w:bCs/>
          <w:lang w:eastAsia="zh-CN" w:bidi="hi-IN"/>
        </w:rPr>
        <w:t xml:space="preserve"> : </w:t>
      </w:r>
      <w:r w:rsidRPr="00E87939">
        <w:rPr>
          <w:lang w:eastAsia="zh-CN" w:bidi="hi-IN"/>
        </w:rPr>
        <w:t>Constatez les créances irrécouvrables (perte certaine).</w:t>
      </w:r>
    </w:p>
    <w:p w14:paraId="6BE0915A" w14:textId="77777777" w:rsidR="00880A2E" w:rsidRDefault="00880A2E" w:rsidP="00880A2E">
      <w:pPr>
        <w:rPr>
          <w:lang w:eastAsia="zh-CN" w:bidi="hi-IN"/>
        </w:rPr>
      </w:pPr>
      <w:r w:rsidRPr="00E87939">
        <w:rPr>
          <w:lang w:eastAsia="zh-CN" w:bidi="hi-IN"/>
        </w:rPr>
        <w:t xml:space="preserve">Il faut : </w:t>
      </w:r>
    </w:p>
    <w:p w14:paraId="7A5124DA" w14:textId="04592B58" w:rsidR="00880A2E" w:rsidRPr="00E87939" w:rsidRDefault="00880A2E" w:rsidP="00880A2E">
      <w:pPr>
        <w:rPr>
          <w:lang w:eastAsia="zh-CN" w:bidi="hi-IN"/>
        </w:rPr>
      </w:pPr>
      <w:r w:rsidRPr="00E87939">
        <w:rPr>
          <w:lang w:eastAsia="zh-CN" w:bidi="hi-IN"/>
        </w:rPr>
        <w:t xml:space="preserve">- </w:t>
      </w:r>
      <w:r w:rsidRPr="00E87939">
        <w:rPr>
          <w:b/>
          <w:lang w:eastAsia="zh-CN" w:bidi="hi-IN"/>
        </w:rPr>
        <w:t>annuler</w:t>
      </w:r>
      <w:r w:rsidRPr="00E87939">
        <w:rPr>
          <w:lang w:eastAsia="zh-CN" w:bidi="hi-IN"/>
        </w:rPr>
        <w:t xml:space="preserve"> la créance douteuse du client (montant TTC non perçu) et la TVA collectée sur cette créance (TVA non perçue remboursée par l’administration fiscale), </w:t>
      </w:r>
    </w:p>
    <w:p w14:paraId="15FFAFD1" w14:textId="77777777" w:rsidR="00880A2E" w:rsidRPr="00E87939" w:rsidRDefault="00880A2E" w:rsidP="00880A2E">
      <w:pPr>
        <w:rPr>
          <w:lang w:eastAsia="zh-CN" w:bidi="hi-IN"/>
        </w:rPr>
      </w:pPr>
      <w:r w:rsidRPr="00E87939">
        <w:rPr>
          <w:lang w:eastAsia="zh-CN" w:bidi="hi-IN"/>
        </w:rPr>
        <w:t xml:space="preserve">- </w:t>
      </w:r>
      <w:r w:rsidRPr="00E87939">
        <w:rPr>
          <w:b/>
          <w:lang w:eastAsia="zh-CN" w:bidi="hi-IN"/>
        </w:rPr>
        <w:t>enregistrer</w:t>
      </w:r>
      <w:r w:rsidRPr="00E87939">
        <w:rPr>
          <w:lang w:eastAsia="zh-CN" w:bidi="hi-IN"/>
        </w:rPr>
        <w:t xml:space="preserve"> la perte (montant HT non perçu) dans un compte de charge 654 Perte sur créances irrécouvrables.</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1077"/>
        <w:gridCol w:w="1071"/>
        <w:gridCol w:w="4650"/>
        <w:gridCol w:w="1421"/>
        <w:gridCol w:w="1419"/>
      </w:tblGrid>
      <w:tr w:rsidR="00880A2E" w:rsidRPr="00E87939" w14:paraId="65E87CEF" w14:textId="77777777" w:rsidTr="00DF3AF5">
        <w:tc>
          <w:tcPr>
            <w:tcW w:w="1077" w:type="dxa"/>
            <w:tcBorders>
              <w:top w:val="single" w:sz="2" w:space="0" w:color="000000"/>
              <w:left w:val="single" w:sz="2" w:space="0" w:color="000000"/>
              <w:bottom w:val="single" w:sz="2" w:space="0" w:color="000000"/>
            </w:tcBorders>
            <w:shd w:val="clear" w:color="auto" w:fill="auto"/>
          </w:tcPr>
          <w:p w14:paraId="0D0898B4" w14:textId="77777777" w:rsidR="00880A2E" w:rsidRPr="00E87939" w:rsidRDefault="00880A2E" w:rsidP="00DF3AF5">
            <w:pPr>
              <w:suppressLineNumbers/>
              <w:spacing w:after="0" w:line="240" w:lineRule="auto"/>
              <w:rPr>
                <w:rFonts w:ascii="Times New Roman" w:eastAsia="NSimSun" w:hAnsi="Times New Roman" w:cs="Arial"/>
                <w:kern w:val="2"/>
                <w:sz w:val="20"/>
                <w:szCs w:val="20"/>
                <w:lang w:eastAsia="zh-CN" w:bidi="hi-IN"/>
              </w:rPr>
            </w:pPr>
          </w:p>
          <w:p w14:paraId="1DD6F893"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654</w:t>
            </w:r>
          </w:p>
          <w:p w14:paraId="5B0AE84E"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44571</w:t>
            </w:r>
          </w:p>
        </w:tc>
        <w:tc>
          <w:tcPr>
            <w:tcW w:w="1071" w:type="dxa"/>
            <w:tcBorders>
              <w:top w:val="single" w:sz="2" w:space="0" w:color="000000"/>
              <w:left w:val="single" w:sz="2" w:space="0" w:color="000000"/>
              <w:bottom w:val="single" w:sz="2" w:space="0" w:color="000000"/>
            </w:tcBorders>
            <w:shd w:val="clear" w:color="auto" w:fill="auto"/>
          </w:tcPr>
          <w:p w14:paraId="4C7EEE6C" w14:textId="77777777" w:rsidR="00880A2E" w:rsidRPr="00E87939" w:rsidRDefault="00880A2E" w:rsidP="00DF3AF5">
            <w:pPr>
              <w:suppressLineNumbers/>
              <w:spacing w:after="0" w:line="240" w:lineRule="auto"/>
              <w:rPr>
                <w:rFonts w:ascii="Times New Roman" w:eastAsia="NSimSun" w:hAnsi="Times New Roman" w:cs="Arial"/>
                <w:kern w:val="2"/>
                <w:sz w:val="20"/>
                <w:szCs w:val="20"/>
                <w:lang w:eastAsia="zh-CN" w:bidi="hi-IN"/>
              </w:rPr>
            </w:pPr>
          </w:p>
          <w:p w14:paraId="3C8D8944"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1CD7BBFD"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p>
          <w:p w14:paraId="1B539AED"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416</w:t>
            </w:r>
          </w:p>
        </w:tc>
        <w:tc>
          <w:tcPr>
            <w:tcW w:w="4650" w:type="dxa"/>
            <w:tcBorders>
              <w:top w:val="single" w:sz="2" w:space="0" w:color="000000"/>
              <w:left w:val="single" w:sz="2" w:space="0" w:color="000000"/>
              <w:bottom w:val="single" w:sz="2" w:space="0" w:color="000000"/>
            </w:tcBorders>
            <w:shd w:val="clear" w:color="auto" w:fill="auto"/>
          </w:tcPr>
          <w:p w14:paraId="716B2A8B"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31/12/N</w:t>
            </w:r>
          </w:p>
          <w:p w14:paraId="374C1C65"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Perte sur créances irrécouvrables</w:t>
            </w:r>
          </w:p>
          <w:p w14:paraId="7DEA18F1" w14:textId="77777777" w:rsidR="00880A2E" w:rsidRPr="00E87939" w:rsidRDefault="00880A2E" w:rsidP="00DF3AF5">
            <w:pPr>
              <w:suppressLineNumbers/>
              <w:spacing w:after="0" w:line="240" w:lineRule="auto"/>
              <w:rPr>
                <w:rFonts w:ascii="Times New Roman" w:eastAsia="NSimSun" w:hAnsi="Times New Roman" w:cs="Arial"/>
                <w:kern w:val="2"/>
                <w:sz w:val="24"/>
                <w:szCs w:val="24"/>
                <w:lang w:eastAsia="zh-CN" w:bidi="hi-IN"/>
              </w:rPr>
            </w:pPr>
            <w:r w:rsidRPr="00E87939">
              <w:rPr>
                <w:rFonts w:ascii="Times New Roman" w:eastAsia="NSimSun" w:hAnsi="Times New Roman" w:cs="Arial"/>
                <w:kern w:val="2"/>
                <w:sz w:val="24"/>
                <w:szCs w:val="24"/>
                <w:lang w:eastAsia="zh-CN" w:bidi="hi-IN"/>
              </w:rPr>
              <w:t>TVA collectée</w:t>
            </w:r>
          </w:p>
          <w:p w14:paraId="18CBD5FB" w14:textId="77777777" w:rsidR="00880A2E" w:rsidRPr="00E87939" w:rsidRDefault="00880A2E" w:rsidP="00DF3AF5">
            <w:pPr>
              <w:suppressLineNumbers/>
              <w:spacing w:after="0" w:line="240" w:lineRule="auto"/>
              <w:rPr>
                <w:rFonts w:ascii="Times New Roman" w:eastAsia="NSimSun" w:hAnsi="Times New Roman" w:cs="Arial"/>
                <w:kern w:val="2"/>
                <w:sz w:val="20"/>
                <w:szCs w:val="20"/>
                <w:lang w:eastAsia="zh-CN" w:bidi="hi-IN"/>
              </w:rPr>
            </w:pPr>
            <w:r w:rsidRPr="00E87939">
              <w:rPr>
                <w:rFonts w:ascii="Times New Roman" w:eastAsia="NSimSun" w:hAnsi="Times New Roman" w:cs="Arial"/>
                <w:kern w:val="2"/>
                <w:sz w:val="20"/>
                <w:szCs w:val="20"/>
                <w:lang w:eastAsia="zh-CN" w:bidi="hi-IN"/>
              </w:rPr>
              <w:tab/>
            </w:r>
            <w:r w:rsidRPr="00E87939">
              <w:rPr>
                <w:rFonts w:ascii="Times New Roman" w:eastAsia="NSimSun" w:hAnsi="Times New Roman" w:cs="Arial"/>
                <w:kern w:val="2"/>
                <w:sz w:val="24"/>
                <w:szCs w:val="24"/>
                <w:lang w:eastAsia="zh-CN" w:bidi="hi-IN"/>
              </w:rPr>
              <w:t>clients douteux</w:t>
            </w:r>
          </w:p>
          <w:p w14:paraId="5EDCBE8C" w14:textId="77777777" w:rsidR="00880A2E" w:rsidRPr="00E87939" w:rsidRDefault="00880A2E" w:rsidP="00DF3AF5">
            <w:pPr>
              <w:suppressLineNumbers/>
              <w:spacing w:after="0" w:line="240" w:lineRule="auto"/>
              <w:rPr>
                <w:rFonts w:ascii="Times New Roman" w:eastAsia="NSimSun" w:hAnsi="Times New Roman" w:cs="Arial"/>
                <w:kern w:val="2"/>
                <w:sz w:val="20"/>
                <w:szCs w:val="20"/>
                <w:lang w:eastAsia="zh-CN" w:bidi="hi-IN"/>
              </w:rPr>
            </w:pPr>
            <w:r w:rsidRPr="00E87939">
              <w:rPr>
                <w:rFonts w:ascii="Liberation Serif" w:eastAsia="NSimSun" w:hAnsi="Liberation Serif" w:cs="Arial"/>
                <w:noProof/>
                <w:kern w:val="2"/>
                <w:sz w:val="24"/>
                <w:szCs w:val="24"/>
                <w:lang w:eastAsia="fr-FR"/>
              </w:rPr>
              <mc:AlternateContent>
                <mc:Choice Requires="wps">
                  <w:drawing>
                    <wp:anchor distT="0" distB="0" distL="0" distR="0" simplePos="0" relativeHeight="251668480" behindDoc="0" locked="0" layoutInCell="1" allowOverlap="1" wp14:anchorId="3BBF4077" wp14:editId="3318DD8A">
                      <wp:simplePos x="0" y="0"/>
                      <wp:positionH relativeFrom="column">
                        <wp:posOffset>2486025</wp:posOffset>
                      </wp:positionH>
                      <wp:positionV relativeFrom="paragraph">
                        <wp:posOffset>487680</wp:posOffset>
                      </wp:positionV>
                      <wp:extent cx="33020" cy="7620"/>
                      <wp:effectExtent l="0" t="0" r="0" b="0"/>
                      <wp:wrapNone/>
                      <wp:docPr id="25" name="Forme34"/>
                      <wp:cNvGraphicFramePr/>
                      <a:graphic xmlns:a="http://schemas.openxmlformats.org/drawingml/2006/main">
                        <a:graphicData uri="http://schemas.microsoft.com/office/word/2010/wordprocessingShape">
                          <wps:wsp>
                            <wps:cNvSpPr/>
                            <wps:spPr>
                              <a:xfrm>
                                <a:off x="0" y="0"/>
                                <a:ext cx="32400" cy="6840"/>
                              </a:xfrm>
                              <a:prstGeom prst="ellipse">
                                <a:avLst/>
                              </a:prstGeom>
                              <a:solidFill>
                                <a:srgbClr val="729FCF"/>
                              </a:solidFill>
                              <a:ln>
                                <a:solidFill>
                                  <a:srgbClr val="3465A4"/>
                                </a:solidFill>
                              </a:ln>
                              <a:effectLst/>
                            </wps:spPr>
                            <wps:bodyPr/>
                          </wps:wsp>
                        </a:graphicData>
                      </a:graphic>
                    </wp:anchor>
                  </w:drawing>
                </mc:Choice>
                <mc:Fallback>
                  <w:pict>
                    <v:oval w14:anchorId="76AE0749" id="Forme34" o:spid="_x0000_s1026" style="position:absolute;margin-left:195.75pt;margin-top:38.4pt;width:2.6pt;height:.6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" fillcolor="#729fcf" strokecolor="#3465a4"/>
                  </w:pict>
                </mc:Fallback>
              </mc:AlternateContent>
            </w:r>
            <w:r w:rsidRPr="00E87939">
              <w:rPr>
                <w:rFonts w:ascii="Times New Roman" w:eastAsia="NSimSun" w:hAnsi="Times New Roman" w:cs="Arial"/>
                <w:kern w:val="2"/>
                <w:sz w:val="20"/>
                <w:szCs w:val="20"/>
                <w:lang w:eastAsia="zh-CN" w:bidi="hi-IN"/>
              </w:rPr>
              <w:t xml:space="preserve">Créance irrécouvrable du client </w:t>
            </w:r>
            <w:r>
              <w:rPr>
                <w:rFonts w:ascii="Times New Roman" w:eastAsia="NSimSun" w:hAnsi="Times New Roman" w:cs="Arial"/>
                <w:kern w:val="2"/>
                <w:sz w:val="20"/>
                <w:szCs w:val="20"/>
                <w:lang w:eastAsia="zh-CN" w:bidi="hi-IN"/>
              </w:rPr>
              <w:t>X</w:t>
            </w:r>
          </w:p>
        </w:tc>
        <w:tc>
          <w:tcPr>
            <w:tcW w:w="1421" w:type="dxa"/>
            <w:tcBorders>
              <w:top w:val="single" w:sz="2" w:space="0" w:color="000000"/>
              <w:left w:val="single" w:sz="2" w:space="0" w:color="000000"/>
              <w:bottom w:val="single" w:sz="2" w:space="0" w:color="000000"/>
            </w:tcBorders>
            <w:shd w:val="clear" w:color="auto" w:fill="auto"/>
          </w:tcPr>
          <w:p w14:paraId="5586DBD2"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31ABF4C3"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8123CD">
              <w:rPr>
                <w:rFonts w:ascii="Times New Roman" w:eastAsia="NSimSun" w:hAnsi="Times New Roman" w:cs="Arial"/>
                <w:kern w:val="2"/>
                <w:sz w:val="20"/>
                <w:szCs w:val="20"/>
                <w:lang w:eastAsia="zh-CN" w:bidi="hi-IN"/>
              </w:rPr>
              <w:t>HT non perçu</w:t>
            </w:r>
          </w:p>
          <w:p w14:paraId="2CD99EC7"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8123CD">
              <w:rPr>
                <w:rFonts w:ascii="Times New Roman" w:eastAsia="NSimSun" w:hAnsi="Times New Roman" w:cs="Arial"/>
                <w:kern w:val="2"/>
                <w:sz w:val="20"/>
                <w:szCs w:val="20"/>
                <w:lang w:eastAsia="zh-CN" w:bidi="hi-IN"/>
              </w:rPr>
              <w:t>TVA non perçus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33AD0C24"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10B77E5F"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6A77CC50"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p>
          <w:p w14:paraId="10E6160C" w14:textId="77777777" w:rsidR="00880A2E" w:rsidRPr="00E87939" w:rsidRDefault="00880A2E" w:rsidP="00DF3AF5">
            <w:pPr>
              <w:suppressLineNumbers/>
              <w:spacing w:after="0" w:line="240" w:lineRule="auto"/>
              <w:jc w:val="center"/>
              <w:rPr>
                <w:rFonts w:ascii="Times New Roman" w:eastAsia="NSimSun" w:hAnsi="Times New Roman" w:cs="Arial"/>
                <w:kern w:val="2"/>
                <w:sz w:val="20"/>
                <w:szCs w:val="20"/>
                <w:lang w:eastAsia="zh-CN" w:bidi="hi-IN"/>
              </w:rPr>
            </w:pPr>
            <w:r w:rsidRPr="008123CD">
              <w:rPr>
                <w:rFonts w:ascii="Times New Roman" w:eastAsia="NSimSun" w:hAnsi="Times New Roman" w:cs="Arial"/>
                <w:kern w:val="2"/>
                <w:sz w:val="20"/>
                <w:szCs w:val="20"/>
                <w:lang w:eastAsia="zh-CN" w:bidi="hi-IN"/>
              </w:rPr>
              <w:t>TTC non perçu</w:t>
            </w:r>
          </w:p>
        </w:tc>
      </w:tr>
    </w:tbl>
    <w:p w14:paraId="230DCDF8" w14:textId="77777777" w:rsidR="00880A2E" w:rsidRDefault="00880A2E" w:rsidP="00880A2E">
      <w:pPr>
        <w:spacing w:after="0"/>
        <w:rPr>
          <w:rFonts w:ascii="Times New Roman" w:hAnsi="Times New Roman" w:cs="Times New Roman"/>
          <w:b/>
          <w:sz w:val="24"/>
          <w:szCs w:val="24"/>
          <w:u w:val="single"/>
        </w:rPr>
      </w:pPr>
    </w:p>
    <w:p w14:paraId="63A36135" w14:textId="443B3A50" w:rsidR="00880A2E" w:rsidRPr="001B09C8" w:rsidRDefault="00880A2E" w:rsidP="00A742CC">
      <w:pPr>
        <w:pStyle w:val="Titre2"/>
      </w:pPr>
      <w:r w:rsidRPr="001B09C8">
        <w:t xml:space="preserve">L’impact sur </w:t>
      </w:r>
      <w:r w:rsidRPr="00A742CC">
        <w:rPr>
          <w:rStyle w:val="Titre2Car"/>
        </w:rPr>
        <w:t>les</w:t>
      </w:r>
      <w:r w:rsidRPr="001B09C8">
        <w:t xml:space="preserve"> documents de synthèse</w:t>
      </w:r>
    </w:p>
    <w:p w14:paraId="4A78E3A4" w14:textId="4EEBAF79" w:rsidR="00A742CC" w:rsidRDefault="00880A2E" w:rsidP="00A742CC">
      <w:pPr>
        <w:pStyle w:val="Titre4"/>
      </w:pPr>
      <w:r w:rsidRPr="003838C7">
        <w:t>Au niveau de l’actif du bilan</w:t>
      </w:r>
    </w:p>
    <w:p w14:paraId="0DD51E5A" w14:textId="5C79DF50" w:rsidR="00880A2E" w:rsidRPr="003838C7" w:rsidRDefault="00880A2E" w:rsidP="00A742CC">
      <w:pPr>
        <w:rPr>
          <w:b/>
        </w:rPr>
      </w:pPr>
      <w:r w:rsidRPr="003838C7">
        <w:t>Les dépréciations diminuent la valeur des actifs concernés</w:t>
      </w:r>
      <w:r w:rsidRPr="003838C7">
        <w:rPr>
          <w:b/>
        </w:rPr>
        <w:t>.</w:t>
      </w:r>
    </w:p>
    <w:p w14:paraId="43FA0BFB" w14:textId="0C6B9F8D" w:rsidR="00880A2E" w:rsidRPr="003838C7" w:rsidRDefault="00880A2E" w:rsidP="00A742CC">
      <w:pPr>
        <w:pStyle w:val="Titre4"/>
      </w:pPr>
      <w:r w:rsidRPr="003838C7">
        <w:t>Au niveau du compte de résultat</w:t>
      </w:r>
    </w:p>
    <w:p w14:paraId="6AAA793E" w14:textId="77777777" w:rsidR="00880A2E" w:rsidRPr="008123CD" w:rsidRDefault="00880A2E" w:rsidP="00A742CC">
      <w:r w:rsidRPr="008123CD">
        <w:t>La dotation aux dépréciations diminue le résultat, en augmentant les charges.</w:t>
      </w:r>
    </w:p>
    <w:p w14:paraId="28FA304B" w14:textId="74DE75DF" w:rsidR="00880A2E" w:rsidRPr="008123CD" w:rsidRDefault="00880A2E" w:rsidP="00A742CC">
      <w:r w:rsidRPr="008123CD">
        <w:t>La reprise des dépréciations</w:t>
      </w:r>
      <w:r w:rsidR="00A742CC">
        <w:t>,</w:t>
      </w:r>
      <w:r w:rsidRPr="008123CD">
        <w:t xml:space="preserve"> en annulant tout ou partie d’une dépréciation existante</w:t>
      </w:r>
      <w:r w:rsidR="00A742CC">
        <w:t>,</w:t>
      </w:r>
      <w:r w:rsidRPr="008123CD">
        <w:t xml:space="preserve"> augmente les produits et le résultat.</w:t>
      </w:r>
    </w:p>
    <w:p w14:paraId="6C3893E2" w14:textId="02432499" w:rsidR="00A742CC" w:rsidRDefault="00880A2E" w:rsidP="00A742CC">
      <w:pPr>
        <w:pStyle w:val="Titre4"/>
      </w:pPr>
      <w:r w:rsidRPr="003838C7">
        <w:t>Dans l’annexe</w:t>
      </w:r>
    </w:p>
    <w:p w14:paraId="787D3F1B" w14:textId="155CE0D4" w:rsidR="00F35C1F" w:rsidRPr="00A742CC" w:rsidRDefault="00A742CC" w:rsidP="009517EE">
      <w:r>
        <w:t>L</w:t>
      </w:r>
      <w:r w:rsidR="00880A2E" w:rsidRPr="003838C7">
        <w:t>e</w:t>
      </w:r>
      <w:r>
        <w:t xml:space="preserve"> </w:t>
      </w:r>
      <w:r w:rsidR="00880A2E" w:rsidRPr="003838C7">
        <w:t>tableau des dépréciations retrace les variations aux dépréciations subies par les actifs de l’entreprise.</w:t>
      </w:r>
    </w:p>
    <w:sectPr w:rsidR="00F35C1F" w:rsidRPr="00A742C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D0D4" w14:textId="77777777" w:rsidR="00FE6E1C" w:rsidRDefault="00FE6E1C" w:rsidP="00A715E6">
      <w:r>
        <w:separator/>
      </w:r>
    </w:p>
  </w:endnote>
  <w:endnote w:type="continuationSeparator" w:id="0">
    <w:p w14:paraId="64A40879" w14:textId="77777777" w:rsidR="00FE6E1C" w:rsidRDefault="00FE6E1C"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0C80" w14:textId="77777777" w:rsidR="00FE6E1C" w:rsidRDefault="00FE6E1C" w:rsidP="00A715E6">
      <w:r>
        <w:separator/>
      </w:r>
    </w:p>
  </w:footnote>
  <w:footnote w:type="continuationSeparator" w:id="0">
    <w:p w14:paraId="0B39080A" w14:textId="77777777" w:rsidR="00FE6E1C" w:rsidRDefault="00FE6E1C"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634"/>
    <w:multiLevelType w:val="hybridMultilevel"/>
    <w:tmpl w:val="6770C73A"/>
    <w:lvl w:ilvl="0" w:tplc="2EEEE91C">
      <w:start w:val="1"/>
      <w:numFmt w:val="bullet"/>
      <w:lvlText w:val="-"/>
      <w:lvlJc w:val="left"/>
      <w:pPr>
        <w:ind w:left="720" w:hanging="360"/>
      </w:pPr>
      <w:rPr>
        <w:rFonts w:ascii="Times New Roman" w:eastAsia="Wingdi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482152"/>
    <w:multiLevelType w:val="hybridMultilevel"/>
    <w:tmpl w:val="B69C1A80"/>
    <w:lvl w:ilvl="0" w:tplc="82849312">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D62963"/>
    <w:multiLevelType w:val="hybridMultilevel"/>
    <w:tmpl w:val="0B401104"/>
    <w:lvl w:ilvl="0" w:tplc="AD88BE1E">
      <w:numFmt w:val="bullet"/>
      <w:lvlText w:val="-"/>
      <w:lvlJc w:val="left"/>
      <w:pPr>
        <w:ind w:left="644"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4"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F83644"/>
    <w:multiLevelType w:val="hybridMultilevel"/>
    <w:tmpl w:val="D66CA332"/>
    <w:lvl w:ilvl="0" w:tplc="C6C033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8"/>
  </w:num>
  <w:num w:numId="5">
    <w:abstractNumId w:val="2"/>
  </w:num>
  <w:num w:numId="6">
    <w:abstractNumId w:val="13"/>
  </w:num>
  <w:num w:numId="7">
    <w:abstractNumId w:val="18"/>
  </w:num>
  <w:num w:numId="8">
    <w:abstractNumId w:val="7"/>
  </w:num>
  <w:num w:numId="9">
    <w:abstractNumId w:val="5"/>
  </w:num>
  <w:num w:numId="10">
    <w:abstractNumId w:val="3"/>
  </w:num>
  <w:num w:numId="11">
    <w:abstractNumId w:val="17"/>
  </w:num>
  <w:num w:numId="12">
    <w:abstractNumId w:val="6"/>
  </w:num>
  <w:num w:numId="13">
    <w:abstractNumId w:val="14"/>
  </w:num>
  <w:num w:numId="14">
    <w:abstractNumId w:val="9"/>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36335"/>
    <w:rsid w:val="001573AC"/>
    <w:rsid w:val="001B5DE2"/>
    <w:rsid w:val="00206267"/>
    <w:rsid w:val="003521D7"/>
    <w:rsid w:val="003A6F4D"/>
    <w:rsid w:val="003B7549"/>
    <w:rsid w:val="00471A56"/>
    <w:rsid w:val="00525C0E"/>
    <w:rsid w:val="00553262"/>
    <w:rsid w:val="0056408A"/>
    <w:rsid w:val="00681F78"/>
    <w:rsid w:val="006A20A6"/>
    <w:rsid w:val="006C3752"/>
    <w:rsid w:val="006F664C"/>
    <w:rsid w:val="00880A2E"/>
    <w:rsid w:val="008D3203"/>
    <w:rsid w:val="009517EE"/>
    <w:rsid w:val="00986690"/>
    <w:rsid w:val="009A5D11"/>
    <w:rsid w:val="00A715E6"/>
    <w:rsid w:val="00A742CC"/>
    <w:rsid w:val="00B94FF6"/>
    <w:rsid w:val="00BE03ED"/>
    <w:rsid w:val="00BF7364"/>
    <w:rsid w:val="00C04123"/>
    <w:rsid w:val="00C511AB"/>
    <w:rsid w:val="00C73FC0"/>
    <w:rsid w:val="00CA5B74"/>
    <w:rsid w:val="00CB2DB8"/>
    <w:rsid w:val="00CB7E6C"/>
    <w:rsid w:val="00CC3125"/>
    <w:rsid w:val="00D5240D"/>
    <w:rsid w:val="00D71156"/>
    <w:rsid w:val="00E213FA"/>
    <w:rsid w:val="00E31277"/>
    <w:rsid w:val="00E72EB7"/>
    <w:rsid w:val="00F10F58"/>
    <w:rsid w:val="00F35C1F"/>
    <w:rsid w:val="00FE6E1C"/>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5865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5</cp:revision>
  <dcterms:created xsi:type="dcterms:W3CDTF">2020-03-27T15:27:00Z</dcterms:created>
  <dcterms:modified xsi:type="dcterms:W3CDTF">2020-03-27T15:48:00Z</dcterms:modified>
</cp:coreProperties>
</file>