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D81AD" w14:textId="6DA4F75D" w:rsidR="00136335" w:rsidRDefault="00DB30BA" w:rsidP="00136335">
      <w:pPr>
        <w:rPr>
          <w:rFonts w:cstheme="minorBidi"/>
          <w:b/>
        </w:rPr>
      </w:pPr>
      <w:r>
        <w:rPr>
          <w:noProof/>
          <w:lang w:eastAsia="fr-FR"/>
        </w:rPr>
        <w:pict w14:anchorId="2FFB9C6D">
          <v:group id="_x0000_s1035" style="position:absolute;left:0;text-align:left;margin-left:0;margin-top:0;width:453.6pt;height:84.65pt;z-index:251666432;mso-position-horizontal:center;mso-position-horizontal-relative:margin;mso-position-vertical:top;mso-position-vertical-relative:margin" coordorigin="1417,1417" coordsize="9072,1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4844;top:1417;width:5645;height:1693;mso-position-horizontal:right;mso-position-horizontal-relative:margin;mso-position-vertical:top;mso-position-vertical-relative:margin">
              <v:imagedata r:id="rId7" o:title="gestion-finance"/>
            </v:shape>
            <v:group id="_x0000_s1034" style="position:absolute;left:1417;top:1574;width:3076;height:1379" coordorigin="1417,1424" coordsize="3076,1379">
              <v:shape id="_x0000_s1032" type="#_x0000_t75" style="position:absolute;left:1417;top:1424;width:3076;height:852;mso-position-horizontal:left;mso-position-horizontal-relative:margin;mso-position-vertical:top;mso-position-vertical-relative:margin">
                <v:imagedata r:id="rId8" o:title="essentiel"/>
              </v:shape>
              <v:shape id="_x0000_s1033" type="#_x0000_t75" style="position:absolute;left:2025;top:2236;width:1859;height:567;mso-position-horizontal-relative:text;mso-position-vertical-relative:text;mso-width-relative:page;mso-height-relative:page">
                <v:imagedata r:id="rId9" o:title="tle"/>
              </v:shape>
            </v:group>
            <w10:wrap type="square" anchorx="margin" anchory="margin"/>
          </v:group>
        </w:pict>
      </w:r>
    </w:p>
    <w:p w14:paraId="0E171B52" w14:textId="1CFE1E3D" w:rsidR="001E63E0" w:rsidRDefault="001E63E0" w:rsidP="001E63E0">
      <w:pPr>
        <w:pStyle w:val="Titre1"/>
      </w:pPr>
      <w:r>
        <w:t>Chapitre 12 : l’analyse de la structure financière</w:t>
      </w:r>
    </w:p>
    <w:p w14:paraId="5BDAC2E1" w14:textId="77777777" w:rsidR="001E63E0" w:rsidRPr="001E63E0" w:rsidRDefault="001E63E0" w:rsidP="001E63E0"/>
    <w:p w14:paraId="277FDB07" w14:textId="20139FC0" w:rsidR="001E63E0" w:rsidRDefault="001E63E0" w:rsidP="001E63E0">
      <w:pPr>
        <w:pStyle w:val="Titre2"/>
      </w:pPr>
      <w:r>
        <w:t>Le bilan fonctionnel</w:t>
      </w:r>
    </w:p>
    <w:p w14:paraId="6F0264E5" w14:textId="77777777" w:rsidR="001E63E0" w:rsidRDefault="001E63E0" w:rsidP="001E63E0">
      <w:r>
        <w:t xml:space="preserve">Le bilan comptable, véritable photographie du patrimoine de l’entreprise à un instant donné, ne permet pas de réaliser une analyse précise de la situation financière de l’entreprise. Un regroupement fonctionnel des comptes est nécessaire pour faire apparaître les différents cycles d’exploitation de l’entreprise. </w:t>
      </w:r>
    </w:p>
    <w:p w14:paraId="09071107" w14:textId="550BEAC2" w:rsidR="001E63E0" w:rsidRPr="001E63E0" w:rsidRDefault="001E63E0" w:rsidP="001E63E0">
      <w:pPr>
        <w:pStyle w:val="Paragraphedeliste"/>
        <w:numPr>
          <w:ilvl w:val="0"/>
          <w:numId w:val="41"/>
        </w:numPr>
      </w:pPr>
      <w:r w:rsidRPr="001E63E0">
        <w:rPr>
          <w:b/>
          <w:bCs/>
        </w:rPr>
        <w:t>Le cycle long d’investissement</w:t>
      </w:r>
      <w:r w:rsidRPr="001E63E0">
        <w:t xml:space="preserve"> correspond aux emplois stables du bilan comptable. Il correspond à l’acquisition de biens durables permettant à l’entreprise de se procurer un avantage économique futur.</w:t>
      </w:r>
    </w:p>
    <w:p w14:paraId="7624504E" w14:textId="72E02BD2" w:rsidR="001E63E0" w:rsidRPr="001E63E0" w:rsidRDefault="001E63E0" w:rsidP="001E63E0">
      <w:pPr>
        <w:pStyle w:val="Paragraphedeliste"/>
        <w:numPr>
          <w:ilvl w:val="0"/>
          <w:numId w:val="41"/>
        </w:numPr>
      </w:pPr>
      <w:r w:rsidRPr="001E63E0">
        <w:rPr>
          <w:b/>
          <w:bCs/>
        </w:rPr>
        <w:t>Le cycle long de financement</w:t>
      </w:r>
      <w:r w:rsidRPr="001E63E0">
        <w:t xml:space="preserve"> correspond aux ressources de financement à long terme. Il comprend les capitaux propres, </w:t>
      </w:r>
      <w:r>
        <w:t>les a</w:t>
      </w:r>
      <w:r w:rsidRPr="001E63E0">
        <w:t xml:space="preserve">mortissements et dépréciations et </w:t>
      </w:r>
      <w:r>
        <w:t>les e</w:t>
      </w:r>
      <w:r w:rsidRPr="001E63E0">
        <w:t>mprunts (dettes financières stables)</w:t>
      </w:r>
      <w:r>
        <w:t>.</w:t>
      </w:r>
    </w:p>
    <w:p w14:paraId="5DC98B84" w14:textId="131A4BF2" w:rsidR="001E63E0" w:rsidRPr="001E63E0" w:rsidRDefault="001E63E0" w:rsidP="001E63E0">
      <w:pPr>
        <w:pStyle w:val="Paragraphedeliste"/>
        <w:numPr>
          <w:ilvl w:val="0"/>
          <w:numId w:val="41"/>
        </w:numPr>
      </w:pPr>
      <w:r w:rsidRPr="001E63E0">
        <w:rPr>
          <w:b/>
          <w:bCs/>
        </w:rPr>
        <w:t xml:space="preserve">Le cycle court d’exploitation. </w:t>
      </w:r>
      <w:r w:rsidRPr="001E63E0">
        <w:t>Il correspond aux emplois et ressources découlant de l’activité courante de l’entreprise, c’est-à-dire à court terme</w:t>
      </w:r>
      <w:r>
        <w:t>.</w:t>
      </w:r>
    </w:p>
    <w:p w14:paraId="17FA40F0" w14:textId="77777777" w:rsidR="001E63E0" w:rsidRDefault="001E63E0" w:rsidP="001E63E0">
      <w:r>
        <w:t xml:space="preserve">Une structure financière équilibrée </w:t>
      </w:r>
      <w:r w:rsidRPr="001E63E0">
        <w:t>signifie</w:t>
      </w:r>
      <w:r>
        <w:t xml:space="preserve"> que le cycle de financement doit financer le cycle d’investissement et une partie du cycle d’exploitation.</w:t>
      </w:r>
    </w:p>
    <w:p w14:paraId="769A05EF" w14:textId="77777777" w:rsidR="001E63E0" w:rsidRDefault="001E63E0" w:rsidP="001E63E0"/>
    <w:p w14:paraId="0DE29E5C" w14:textId="12832BDF" w:rsidR="001E63E0" w:rsidRDefault="001E63E0" w:rsidP="001E63E0">
      <w:pPr>
        <w:pStyle w:val="Titre2"/>
      </w:pPr>
      <w:r>
        <w:t>Le fonds de roulement net global (FRNG)</w:t>
      </w:r>
    </w:p>
    <w:p w14:paraId="44E65795" w14:textId="30742B56" w:rsidR="001E63E0" w:rsidRDefault="001E63E0" w:rsidP="001E63E0">
      <w:r>
        <w:t>À l’aide du bilan fonctionnel, on calcule les indicateurs structurels permettant de visualiser les équilibres financiers de l’entreprise</w:t>
      </w:r>
      <w:r w:rsidR="000121C8">
        <w:t>. Une structure financière est équilibrée si les ressources stables financent les emplois stables. L’excédent de ressources stables, appelé FRNG, permet de financer les besoins liés au cycle d’exploitation (court terme). C’</w:t>
      </w:r>
      <w:r>
        <w:t>est la différence entre les ressources stable</w:t>
      </w:r>
      <w:r w:rsidR="000121C8">
        <w:t>s</w:t>
      </w:r>
      <w:r>
        <w:t xml:space="preserve"> et les emplois stables</w:t>
      </w:r>
      <w:r w:rsidR="000121C8">
        <w:t> :</w:t>
      </w:r>
    </w:p>
    <w:p w14:paraId="623465C9" w14:textId="029FDC88" w:rsidR="000121C8" w:rsidRPr="000121C8" w:rsidRDefault="000121C8" w:rsidP="000121C8">
      <w:pPr>
        <w:jc w:val="center"/>
        <w:rPr>
          <w:b/>
          <w:bCs/>
        </w:rPr>
      </w:pPr>
      <w:r w:rsidRPr="000121C8">
        <w:rPr>
          <w:b/>
          <w:bCs/>
        </w:rPr>
        <w:t xml:space="preserve">FRNG = </w:t>
      </w:r>
      <w:r>
        <w:rPr>
          <w:b/>
          <w:bCs/>
        </w:rPr>
        <w:t>r</w:t>
      </w:r>
      <w:r w:rsidRPr="000121C8">
        <w:rPr>
          <w:b/>
          <w:bCs/>
        </w:rPr>
        <w:t>essource</w:t>
      </w:r>
      <w:r>
        <w:rPr>
          <w:b/>
          <w:bCs/>
        </w:rPr>
        <w:t>s</w:t>
      </w:r>
      <w:r w:rsidRPr="000121C8">
        <w:rPr>
          <w:b/>
          <w:bCs/>
        </w:rPr>
        <w:t xml:space="preserve"> stables à LT – </w:t>
      </w:r>
      <w:r>
        <w:rPr>
          <w:b/>
          <w:bCs/>
        </w:rPr>
        <w:t>e</w:t>
      </w:r>
      <w:r w:rsidRPr="000121C8">
        <w:rPr>
          <w:b/>
          <w:bCs/>
        </w:rPr>
        <w:t>mplois stables à LT</w:t>
      </w:r>
    </w:p>
    <w:p w14:paraId="409CD9AE" w14:textId="77777777" w:rsidR="001E63E0" w:rsidRDefault="001E63E0" w:rsidP="000121C8"/>
    <w:p w14:paraId="5C57B310" w14:textId="3A48C3CD" w:rsidR="001E63E0" w:rsidRDefault="000121C8" w:rsidP="000121C8">
      <w:pPr>
        <w:pStyle w:val="Titre2"/>
      </w:pPr>
      <w:r>
        <w:t>L</w:t>
      </w:r>
      <w:r w:rsidR="001E63E0">
        <w:t>e besoin en fonds de roulement (BFR)</w:t>
      </w:r>
    </w:p>
    <w:p w14:paraId="2B7D5843" w14:textId="61181E6A" w:rsidR="001E63E0" w:rsidRDefault="001E63E0" w:rsidP="00A12BB3">
      <w:r>
        <w:t xml:space="preserve">Il </w:t>
      </w:r>
      <w:r w:rsidR="00A12BB3">
        <w:t>est</w:t>
      </w:r>
      <w:r>
        <w:t xml:space="preserve"> calcul</w:t>
      </w:r>
      <w:r w:rsidR="00A12BB3">
        <w:t>é</w:t>
      </w:r>
      <w:r>
        <w:t xml:space="preserve"> de la façon suivante :</w:t>
      </w:r>
    </w:p>
    <w:p w14:paraId="02AFC7F4" w14:textId="2E5D92FD" w:rsidR="001E63E0" w:rsidRPr="00A12BB3" w:rsidRDefault="001E63E0" w:rsidP="00A12BB3">
      <w:pPr>
        <w:jc w:val="center"/>
        <w:rPr>
          <w:b/>
          <w:bCs/>
        </w:rPr>
      </w:pPr>
      <w:r w:rsidRPr="00A12BB3">
        <w:rPr>
          <w:b/>
          <w:bCs/>
        </w:rPr>
        <w:lastRenderedPageBreak/>
        <w:t xml:space="preserve">BFR = </w:t>
      </w:r>
      <w:r w:rsidR="00A12BB3">
        <w:rPr>
          <w:b/>
          <w:bCs/>
        </w:rPr>
        <w:t>a</w:t>
      </w:r>
      <w:r w:rsidRPr="00A12BB3">
        <w:rPr>
          <w:b/>
          <w:bCs/>
        </w:rPr>
        <w:t xml:space="preserve">ctif circulant à CT – </w:t>
      </w:r>
      <w:r w:rsidR="00A12BB3">
        <w:rPr>
          <w:b/>
          <w:bCs/>
        </w:rPr>
        <w:t>p</w:t>
      </w:r>
      <w:r w:rsidRPr="00A12BB3">
        <w:rPr>
          <w:b/>
          <w:bCs/>
        </w:rPr>
        <w:t>assif circulant à CT</w:t>
      </w:r>
    </w:p>
    <w:p w14:paraId="2C96854D" w14:textId="56DCCD00" w:rsidR="001E63E0" w:rsidRDefault="001E63E0" w:rsidP="00A12BB3">
      <w:r>
        <w:t>Il résulte des décalages entre les encaissements et les décaissements liés à l’activité courante de l’entreprise. Ces décalages génèrent pour l’entreprise un besoin de financement. L’entreprise va donc faire appel à son excédent de ressource sur le long terme pour financer ce besoin.</w:t>
      </w:r>
    </w:p>
    <w:p w14:paraId="6FB151B6" w14:textId="77777777" w:rsidR="00A12BB3" w:rsidRDefault="00A12BB3" w:rsidP="00A12BB3"/>
    <w:p w14:paraId="2584B484" w14:textId="25B3356D" w:rsidR="001E63E0" w:rsidRDefault="00A12BB3" w:rsidP="00A12BB3">
      <w:pPr>
        <w:pStyle w:val="Titre2"/>
      </w:pPr>
      <w:r>
        <w:t>L</w:t>
      </w:r>
      <w:r w:rsidR="001E63E0">
        <w:t>a trésorerie nette</w:t>
      </w:r>
    </w:p>
    <w:p w14:paraId="6F0DF8C1" w14:textId="29869ABD" w:rsidR="001E63E0" w:rsidRDefault="001E63E0" w:rsidP="00A12BB3">
      <w:r>
        <w:t xml:space="preserve">Elle </w:t>
      </w:r>
      <w:r w:rsidR="00A12BB3">
        <w:t>est</w:t>
      </w:r>
      <w:r>
        <w:t xml:space="preserve"> calcul</w:t>
      </w:r>
      <w:r w:rsidR="00A12BB3">
        <w:t>é</w:t>
      </w:r>
      <w:r>
        <w:t>e de la façon suivante :</w:t>
      </w:r>
    </w:p>
    <w:p w14:paraId="060CE4ED" w14:textId="4F13611D" w:rsidR="001E63E0" w:rsidRPr="00A12BB3" w:rsidRDefault="001E63E0" w:rsidP="00A12BB3">
      <w:pPr>
        <w:jc w:val="center"/>
        <w:rPr>
          <w:b/>
          <w:bCs/>
        </w:rPr>
      </w:pPr>
      <w:r w:rsidRPr="00A12BB3">
        <w:rPr>
          <w:b/>
          <w:bCs/>
        </w:rPr>
        <w:t xml:space="preserve">Trésorerie nette = </w:t>
      </w:r>
      <w:r w:rsidR="00A12BB3" w:rsidRPr="00A12BB3">
        <w:rPr>
          <w:b/>
          <w:bCs/>
        </w:rPr>
        <w:t>t</w:t>
      </w:r>
      <w:r w:rsidRPr="00A12BB3">
        <w:rPr>
          <w:b/>
          <w:bCs/>
        </w:rPr>
        <w:t xml:space="preserve">résorerie active – </w:t>
      </w:r>
      <w:r w:rsidR="00A12BB3" w:rsidRPr="00A12BB3">
        <w:rPr>
          <w:b/>
          <w:bCs/>
        </w:rPr>
        <w:t>t</w:t>
      </w:r>
      <w:r w:rsidRPr="00A12BB3">
        <w:rPr>
          <w:b/>
          <w:bCs/>
        </w:rPr>
        <w:t>résorerie passive</w:t>
      </w:r>
    </w:p>
    <w:p w14:paraId="37B6FF49" w14:textId="77777777" w:rsidR="001E63E0" w:rsidRDefault="001E63E0" w:rsidP="00A12BB3">
      <w:r>
        <w:t>Cette différence entre la trésorerie active et passive représente aussi l’excédent de ressources à long terme (FRNG) diminué du besoin de financement lié à l’exploitation (BFR).</w:t>
      </w:r>
    </w:p>
    <w:p w14:paraId="026C6D4A" w14:textId="39E7E4A4" w:rsidR="001E63E0" w:rsidRDefault="001E63E0" w:rsidP="00A12BB3">
      <w:pPr>
        <w:pStyle w:val="Paragraphedeliste"/>
        <w:numPr>
          <w:ilvl w:val="0"/>
          <w:numId w:val="44"/>
        </w:numPr>
      </w:pPr>
      <w:r>
        <w:t>Si FRNG &gt; BFR, alors la trésorerie est positive.</w:t>
      </w:r>
    </w:p>
    <w:p w14:paraId="3F10EC38" w14:textId="021C40D2" w:rsidR="001E63E0" w:rsidRPr="00A12BB3" w:rsidRDefault="001E63E0" w:rsidP="001E63E0">
      <w:pPr>
        <w:pStyle w:val="Paragraphedeliste"/>
        <w:numPr>
          <w:ilvl w:val="0"/>
          <w:numId w:val="44"/>
        </w:numPr>
      </w:pPr>
      <w:r>
        <w:t xml:space="preserve">Si FRNG &lt; BFR, alors la trésorerie est négative. </w:t>
      </w:r>
    </w:p>
    <w:p w14:paraId="07430533" w14:textId="7FB36AB4" w:rsidR="001E63E0" w:rsidRDefault="001E63E0" w:rsidP="00A12BB3">
      <w:r>
        <w:t>L’entreprise dispose de différents moyens pour résoudre des déséquilibres financiers</w:t>
      </w:r>
      <w:r w:rsidR="00A12BB3">
        <w:t>. E</w:t>
      </w:r>
      <w:r>
        <w:t>lle peut agir</w:t>
      </w:r>
      <w:r w:rsidR="00A12BB3">
        <w:t> :</w:t>
      </w:r>
    </w:p>
    <w:p w14:paraId="312B3BBD" w14:textId="2CA79024" w:rsidR="001E63E0" w:rsidRPr="00A12BB3" w:rsidRDefault="001E63E0" w:rsidP="00A12BB3">
      <w:pPr>
        <w:pStyle w:val="Paragraphedeliste"/>
        <w:numPr>
          <w:ilvl w:val="0"/>
          <w:numId w:val="45"/>
        </w:numPr>
        <w:rPr>
          <w:bCs/>
        </w:rPr>
      </w:pPr>
      <w:r w:rsidRPr="00A12BB3">
        <w:rPr>
          <w:bCs/>
        </w:rPr>
        <w:t>sur le fonds de roulement net global (FRNG)</w:t>
      </w:r>
      <w:r w:rsidR="00A12BB3">
        <w:rPr>
          <w:bCs/>
        </w:rPr>
        <w:t> :</w:t>
      </w:r>
    </w:p>
    <w:p w14:paraId="629F7CB4" w14:textId="361E22F2" w:rsidR="001E63E0" w:rsidRPr="00A12BB3" w:rsidRDefault="00A12BB3" w:rsidP="00A12BB3">
      <w:pPr>
        <w:pStyle w:val="Paragraphedeliste"/>
        <w:numPr>
          <w:ilvl w:val="1"/>
          <w:numId w:val="45"/>
        </w:numPr>
        <w:rPr>
          <w:bCs/>
        </w:rPr>
      </w:pPr>
      <w:r>
        <w:rPr>
          <w:bCs/>
        </w:rPr>
        <w:t>en augmentant</w:t>
      </w:r>
      <w:r w:rsidR="001E63E0" w:rsidRPr="00A12BB3">
        <w:rPr>
          <w:bCs/>
        </w:rPr>
        <w:t xml:space="preserve"> le capital en demandant aux associés ou aux actionnaires d’apporter du capital</w:t>
      </w:r>
      <w:r>
        <w:rPr>
          <w:bCs/>
        </w:rPr>
        <w:t> ;</w:t>
      </w:r>
    </w:p>
    <w:p w14:paraId="1B7FE454" w14:textId="7F98DA9C" w:rsidR="001E63E0" w:rsidRPr="00A12BB3" w:rsidRDefault="00A12BB3" w:rsidP="00A12BB3">
      <w:pPr>
        <w:pStyle w:val="Paragraphedeliste"/>
        <w:numPr>
          <w:ilvl w:val="1"/>
          <w:numId w:val="45"/>
        </w:numPr>
        <w:rPr>
          <w:bCs/>
        </w:rPr>
      </w:pPr>
      <w:r>
        <w:rPr>
          <w:bCs/>
        </w:rPr>
        <w:t>en empruntant</w:t>
      </w:r>
      <w:r w:rsidR="001E63E0" w:rsidRPr="00A12BB3">
        <w:rPr>
          <w:bCs/>
        </w:rPr>
        <w:t xml:space="preserve"> auprès d’un organisme financier (mais attention à la capacité d’endettement de l’entreprise)</w:t>
      </w:r>
      <w:r>
        <w:rPr>
          <w:bCs/>
        </w:rPr>
        <w:t> ;</w:t>
      </w:r>
    </w:p>
    <w:p w14:paraId="14672350" w14:textId="7B98093E" w:rsidR="001E63E0" w:rsidRPr="00A12BB3" w:rsidRDefault="00A12BB3" w:rsidP="00A12BB3">
      <w:pPr>
        <w:pStyle w:val="Paragraphedeliste"/>
        <w:numPr>
          <w:ilvl w:val="1"/>
          <w:numId w:val="45"/>
        </w:numPr>
        <w:rPr>
          <w:bCs/>
        </w:rPr>
      </w:pPr>
      <w:r>
        <w:rPr>
          <w:bCs/>
        </w:rPr>
        <w:t>en réduisant</w:t>
      </w:r>
      <w:r w:rsidR="001E63E0" w:rsidRPr="00A12BB3">
        <w:rPr>
          <w:bCs/>
        </w:rPr>
        <w:t xml:space="preserve"> les emplois stables</w:t>
      </w:r>
      <w:r>
        <w:rPr>
          <w:bCs/>
        </w:rPr>
        <w:t> :</w:t>
      </w:r>
      <w:r w:rsidR="001E63E0" w:rsidRPr="00A12BB3">
        <w:rPr>
          <w:bCs/>
        </w:rPr>
        <w:t xml:space="preserve"> cela revient à céder des immobilisations qui ne servent pas à la production</w:t>
      </w:r>
      <w:r>
        <w:rPr>
          <w:bCs/>
        </w:rPr>
        <w:t>.</w:t>
      </w:r>
    </w:p>
    <w:p w14:paraId="53C281C3" w14:textId="61AD7449" w:rsidR="001E63E0" w:rsidRPr="00A12BB3" w:rsidRDefault="001E63E0" w:rsidP="00A12BB3">
      <w:pPr>
        <w:pStyle w:val="Paragraphedeliste"/>
        <w:numPr>
          <w:ilvl w:val="0"/>
          <w:numId w:val="45"/>
        </w:numPr>
        <w:rPr>
          <w:bCs/>
        </w:rPr>
      </w:pPr>
      <w:r w:rsidRPr="00A12BB3">
        <w:rPr>
          <w:bCs/>
        </w:rPr>
        <w:t>sur le besoin en fonds de roulement</w:t>
      </w:r>
      <w:r w:rsidR="00A12BB3">
        <w:rPr>
          <w:bCs/>
        </w:rPr>
        <w:t xml:space="preserve"> (BFR) :</w:t>
      </w:r>
    </w:p>
    <w:p w14:paraId="67F8FD8A" w14:textId="44058576" w:rsidR="001E63E0" w:rsidRPr="00A12BB3" w:rsidRDefault="001E63E0" w:rsidP="00A12BB3">
      <w:pPr>
        <w:pStyle w:val="Paragraphedeliste"/>
        <w:numPr>
          <w:ilvl w:val="1"/>
          <w:numId w:val="45"/>
        </w:numPr>
        <w:rPr>
          <w:bCs/>
        </w:rPr>
      </w:pPr>
      <w:r w:rsidRPr="00A12BB3">
        <w:rPr>
          <w:bCs/>
        </w:rPr>
        <w:t>en assurant une meilleure gestion des stocks afin d’en diminuer les quantités (méthode de production en flux tendus)</w:t>
      </w:r>
      <w:r w:rsidR="00A12BB3">
        <w:rPr>
          <w:bCs/>
        </w:rPr>
        <w:t> ;</w:t>
      </w:r>
    </w:p>
    <w:p w14:paraId="56237FF5" w14:textId="31D67EDF" w:rsidR="001E63E0" w:rsidRPr="00A12BB3" w:rsidRDefault="001E63E0" w:rsidP="00A12BB3">
      <w:pPr>
        <w:pStyle w:val="Paragraphedeliste"/>
        <w:numPr>
          <w:ilvl w:val="1"/>
          <w:numId w:val="45"/>
        </w:numPr>
        <w:rPr>
          <w:bCs/>
        </w:rPr>
      </w:pPr>
      <w:r w:rsidRPr="00A12BB3">
        <w:rPr>
          <w:bCs/>
        </w:rPr>
        <w:t>en diminuant le montant des créances clients (réduction des délais de règlement accordés)</w:t>
      </w:r>
      <w:r w:rsidR="00A12BB3">
        <w:rPr>
          <w:bCs/>
        </w:rPr>
        <w:t> ;</w:t>
      </w:r>
    </w:p>
    <w:p w14:paraId="2AF0B844" w14:textId="77777777" w:rsidR="001E63E0" w:rsidRPr="00A12BB3" w:rsidRDefault="001E63E0" w:rsidP="00A12BB3">
      <w:pPr>
        <w:pStyle w:val="Paragraphedeliste"/>
        <w:numPr>
          <w:ilvl w:val="1"/>
          <w:numId w:val="45"/>
        </w:numPr>
        <w:rPr>
          <w:bCs/>
        </w:rPr>
      </w:pPr>
      <w:r w:rsidRPr="00A12BB3">
        <w:rPr>
          <w:bCs/>
        </w:rPr>
        <w:t>en agissant sur les dettes fournisseurs (obtention de délais de règlement plus longs).</w:t>
      </w:r>
    </w:p>
    <w:p w14:paraId="6FD9CF82" w14:textId="77777777" w:rsidR="001E63E0" w:rsidRDefault="001E63E0" w:rsidP="00A12BB3"/>
    <w:p w14:paraId="11FAA105" w14:textId="0A9DCCA3" w:rsidR="001E63E0" w:rsidRDefault="001E63E0" w:rsidP="00A12BB3">
      <w:pPr>
        <w:pStyle w:val="Titre2"/>
      </w:pPr>
      <w:r>
        <w:t>Les ratios de rotation du cycle d’exploitation en jours</w:t>
      </w:r>
    </w:p>
    <w:p w14:paraId="765EC4F7" w14:textId="77777777" w:rsidR="00A12BB3" w:rsidRDefault="001E63E0" w:rsidP="00A12BB3">
      <w:r w:rsidRPr="00A12BB3">
        <w:t xml:space="preserve">Un ratio est un rapport entre </w:t>
      </w:r>
      <w:r w:rsidR="00A12BB3">
        <w:t>deux</w:t>
      </w:r>
      <w:r w:rsidRPr="00A12BB3">
        <w:t xml:space="preserve"> grandeurs. </w:t>
      </w:r>
    </w:p>
    <w:p w14:paraId="56FFFAC8" w14:textId="026BA327" w:rsidR="001E63E0" w:rsidRDefault="001E63E0" w:rsidP="00A12BB3">
      <w:r w:rsidRPr="00A12BB3">
        <w:t>Calculés en jours, les ratios de rotation du cycle</w:t>
      </w:r>
      <w:r>
        <w:t xml:space="preserve"> d’exploitation servent à</w:t>
      </w:r>
      <w:r w:rsidR="00A12BB3">
        <w:t> :</w:t>
      </w:r>
    </w:p>
    <w:p w14:paraId="3544ACD0" w14:textId="41C71F68" w:rsidR="001E63E0" w:rsidRDefault="001E63E0" w:rsidP="00A12BB3">
      <w:pPr>
        <w:pStyle w:val="Paragraphedeliste"/>
        <w:numPr>
          <w:ilvl w:val="0"/>
          <w:numId w:val="48"/>
        </w:numPr>
      </w:pPr>
      <w:r>
        <w:t>analyser le besoin de l’entreprise en fonds de roulement</w:t>
      </w:r>
      <w:r w:rsidR="00A12BB3">
        <w:t> ;</w:t>
      </w:r>
    </w:p>
    <w:p w14:paraId="26A67F75" w14:textId="0F0CAB48" w:rsidR="001E63E0" w:rsidRDefault="001E63E0" w:rsidP="00A12BB3">
      <w:pPr>
        <w:pStyle w:val="Paragraphedeliste"/>
        <w:numPr>
          <w:ilvl w:val="0"/>
          <w:numId w:val="48"/>
        </w:numPr>
      </w:pPr>
      <w:r>
        <w:t>faire une comparaison dans le temps et dans l’espace</w:t>
      </w:r>
      <w:r w:rsidR="00A12BB3">
        <w:t>.</w:t>
      </w:r>
    </w:p>
    <w:p w14:paraId="77CB7096" w14:textId="4956AE00" w:rsidR="001E63E0" w:rsidRDefault="001E63E0" w:rsidP="001E63E0">
      <w:pPr>
        <w:ind w:left="360"/>
        <w:rPr>
          <w:rFonts w:ascii="Times New Roman" w:hAnsi="Times New Roman" w:cs="Times New Roman"/>
        </w:rPr>
      </w:pPr>
      <w:r>
        <w:rPr>
          <w:rFonts w:ascii="Times New Roman" w:hAnsi="Times New Roman" w:cs="Times New Roman"/>
          <w:noProof/>
        </w:rPr>
        <w:lastRenderedPageBreak/>
        <w:drawing>
          <wp:inline distT="0" distB="0" distL="0" distR="0" wp14:anchorId="15B2F96A" wp14:editId="14E25154">
            <wp:extent cx="5760720" cy="12344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234440"/>
                    </a:xfrm>
                    <a:prstGeom prst="rect">
                      <a:avLst/>
                    </a:prstGeom>
                    <a:noFill/>
                    <a:ln>
                      <a:noFill/>
                    </a:ln>
                  </pic:spPr>
                </pic:pic>
              </a:graphicData>
            </a:graphic>
          </wp:inline>
        </w:drawing>
      </w:r>
    </w:p>
    <w:p w14:paraId="6EC75E22" w14:textId="77777777" w:rsidR="00A12BB3" w:rsidRDefault="00A12BB3" w:rsidP="00A12BB3"/>
    <w:p w14:paraId="52AB1557" w14:textId="28019B43" w:rsidR="001E63E0" w:rsidRDefault="001E63E0" w:rsidP="00A12BB3">
      <w:pPr>
        <w:pStyle w:val="Titre2"/>
      </w:pPr>
      <w:r>
        <w:t>Les ratios financiers</w:t>
      </w:r>
    </w:p>
    <w:p w14:paraId="085E8559" w14:textId="42AC37DE" w:rsidR="001E63E0" w:rsidRDefault="001E63E0" w:rsidP="00A12BB3">
      <w:r>
        <w:t>Les ratios financiers servent à analyser l’équilibre du cycle de financement, c’est-à-dire la proportion entre les dettes financières et les ressources à long terme. Ils mesurent plus particulièrement :</w:t>
      </w:r>
    </w:p>
    <w:p w14:paraId="2D2E5989" w14:textId="74BB67E3" w:rsidR="001E63E0" w:rsidRDefault="001E63E0" w:rsidP="00A12BB3">
      <w:pPr>
        <w:pStyle w:val="Paragraphedeliste"/>
        <w:numPr>
          <w:ilvl w:val="0"/>
          <w:numId w:val="49"/>
        </w:numPr>
      </w:pPr>
      <w:r w:rsidRPr="00A12BB3">
        <w:rPr>
          <w:b/>
          <w:bCs/>
        </w:rPr>
        <w:t>l’indépendance financière</w:t>
      </w:r>
      <w:r>
        <w:t xml:space="preserve"> de l’entreprise vis-à-vis des organismes prêteurs. Pour conserver son indépendance, il est recommandé de limiter ce ratio à 0,5. </w:t>
      </w:r>
      <w:r w:rsidR="00A12BB3">
        <w:t>Le ratio d’indépendance financière est calculé de la manière suivante :</w:t>
      </w:r>
    </w:p>
    <w:p w14:paraId="0108A444" w14:textId="2CD1E356" w:rsidR="001E63E0" w:rsidRPr="00A12BB3" w:rsidRDefault="00A12BB3" w:rsidP="00A12BB3">
      <w:pPr>
        <w:spacing w:after="0"/>
        <w:jc w:val="center"/>
        <w:rPr>
          <w:b/>
          <w:bCs/>
        </w:rPr>
      </w:pPr>
      <w:r>
        <w:rPr>
          <w:rFonts w:cstheme="minorBidi"/>
          <w:noProof/>
        </w:rPr>
        <mc:AlternateContent>
          <mc:Choice Requires="wps">
            <w:drawing>
              <wp:anchor distT="0" distB="0" distL="114300" distR="114300" simplePos="0" relativeHeight="251663872" behindDoc="0" locked="0" layoutInCell="1" allowOverlap="1" wp14:anchorId="4A57D503" wp14:editId="771A3A2B">
                <wp:simplePos x="0" y="0"/>
                <wp:positionH relativeFrom="column">
                  <wp:posOffset>1050925</wp:posOffset>
                </wp:positionH>
                <wp:positionV relativeFrom="paragraph">
                  <wp:posOffset>183515</wp:posOffset>
                </wp:positionV>
                <wp:extent cx="3657600" cy="22860"/>
                <wp:effectExtent l="0" t="0" r="19050" b="34290"/>
                <wp:wrapNone/>
                <wp:docPr id="4" name="Connecteur droit 4"/>
                <wp:cNvGraphicFramePr/>
                <a:graphic xmlns:a="http://schemas.openxmlformats.org/drawingml/2006/main">
                  <a:graphicData uri="http://schemas.microsoft.com/office/word/2010/wordprocessingShape">
                    <wps:wsp>
                      <wps:cNvCnPr/>
                      <wps:spPr>
                        <a:xfrm flipV="1">
                          <a:off x="0" y="0"/>
                          <a:ext cx="3657600" cy="2286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0C0B15" id="Connecteur droit 4"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4.45pt" to="370.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" strokecolor="windowText" strokeweight="1pt">
                <v:stroke joinstyle="miter"/>
              </v:line>
            </w:pict>
          </mc:Fallback>
        </mc:AlternateContent>
      </w:r>
      <w:r w:rsidR="001E63E0" w:rsidRPr="00A12BB3">
        <w:rPr>
          <w:b/>
          <w:bCs/>
        </w:rPr>
        <w:t>dettes financières + concours bancaire</w:t>
      </w:r>
    </w:p>
    <w:p w14:paraId="43926632" w14:textId="3179E84F" w:rsidR="001E63E0" w:rsidRPr="00A12BB3" w:rsidRDefault="001E63E0" w:rsidP="00A12BB3">
      <w:pPr>
        <w:jc w:val="center"/>
        <w:rPr>
          <w:b/>
          <w:bCs/>
        </w:rPr>
      </w:pPr>
      <w:r w:rsidRPr="00A12BB3">
        <w:rPr>
          <w:b/>
          <w:bCs/>
        </w:rPr>
        <w:t>capitaux propres + amortissements, dépréciations et provisions</w:t>
      </w:r>
    </w:p>
    <w:p w14:paraId="62676D6C" w14:textId="798460AA" w:rsidR="001E63E0" w:rsidRDefault="001E63E0" w:rsidP="00A12BB3">
      <w:pPr>
        <w:pStyle w:val="Paragraphedeliste"/>
        <w:numPr>
          <w:ilvl w:val="0"/>
          <w:numId w:val="49"/>
        </w:numPr>
      </w:pPr>
      <w:r w:rsidRPr="00A12BB3">
        <w:rPr>
          <w:b/>
          <w:bCs/>
        </w:rPr>
        <w:t>la capacité de remboursement</w:t>
      </w:r>
      <w:r>
        <w:t xml:space="preserve"> de l’entreprise à rembourser ses dettes grâce à son activité. Il est généralement recommandé de limiter ce ratio à 4 ans.</w:t>
      </w:r>
      <w:r w:rsidR="00A12BB3">
        <w:t xml:space="preserve"> Le ratio de capacité de remboursement est calculé de la manière suivante :</w:t>
      </w:r>
    </w:p>
    <w:p w14:paraId="3604200C" w14:textId="73C2468F" w:rsidR="001E63E0" w:rsidRPr="00DF77E2" w:rsidRDefault="001E63E0" w:rsidP="00A12BB3">
      <w:pPr>
        <w:spacing w:after="0"/>
        <w:jc w:val="center"/>
        <w:rPr>
          <w:b/>
          <w:bCs/>
        </w:rPr>
      </w:pPr>
      <w:r w:rsidRPr="00DF77E2">
        <w:rPr>
          <w:rFonts w:cstheme="minorBidi"/>
          <w:b/>
          <w:bCs/>
          <w:noProof/>
        </w:rPr>
        <mc:AlternateContent>
          <mc:Choice Requires="wps">
            <w:drawing>
              <wp:anchor distT="0" distB="0" distL="114300" distR="114300" simplePos="0" relativeHeight="251658752" behindDoc="0" locked="0" layoutInCell="1" allowOverlap="1" wp14:anchorId="4A2201FC" wp14:editId="74BF08CD">
                <wp:simplePos x="0" y="0"/>
                <wp:positionH relativeFrom="column">
                  <wp:posOffset>1698625</wp:posOffset>
                </wp:positionH>
                <wp:positionV relativeFrom="paragraph">
                  <wp:posOffset>191135</wp:posOffset>
                </wp:positionV>
                <wp:extent cx="2489835" cy="0"/>
                <wp:effectExtent l="0" t="0" r="0" b="0"/>
                <wp:wrapNone/>
                <wp:docPr id="3" name="Connecteur droit 3"/>
                <wp:cNvGraphicFramePr/>
                <a:graphic xmlns:a="http://schemas.openxmlformats.org/drawingml/2006/main">
                  <a:graphicData uri="http://schemas.microsoft.com/office/word/2010/wordprocessingShape">
                    <wps:wsp>
                      <wps:cNvCnPr/>
                      <wps:spPr>
                        <a:xfrm flipV="1">
                          <a:off x="0" y="0"/>
                          <a:ext cx="248983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63878F" id="Connecteur droit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5pt,15.05pt" to="329.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" strokecolor="windowText" strokeweight="1pt">
                <v:stroke joinstyle="miter"/>
              </v:line>
            </w:pict>
          </mc:Fallback>
        </mc:AlternateContent>
      </w:r>
      <w:r w:rsidRPr="00DF77E2">
        <w:rPr>
          <w:b/>
          <w:bCs/>
        </w:rPr>
        <w:t>Dettes financières + concours bancaires</w:t>
      </w:r>
    </w:p>
    <w:p w14:paraId="574E4EF7" w14:textId="5A0E9F13" w:rsidR="001E63E0" w:rsidRPr="00DF77E2" w:rsidRDefault="001E63E0" w:rsidP="00A12BB3">
      <w:pPr>
        <w:jc w:val="center"/>
        <w:rPr>
          <w:b/>
          <w:bCs/>
        </w:rPr>
      </w:pPr>
      <w:r w:rsidRPr="00DF77E2">
        <w:rPr>
          <w:b/>
          <w:bCs/>
        </w:rPr>
        <w:t>CAF</w:t>
      </w:r>
    </w:p>
    <w:p w14:paraId="16BF864C" w14:textId="721F39D6" w:rsidR="009A7EAA" w:rsidRPr="009A7EAA" w:rsidRDefault="009A7EAA" w:rsidP="008A0A64">
      <w:bookmarkStart w:id="0" w:name="_GoBack"/>
      <w:bookmarkEnd w:id="0"/>
    </w:p>
    <w:sectPr w:rsidR="009A7EAA" w:rsidRPr="009A7EA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7B0C9" w14:textId="77777777" w:rsidR="00DB30BA" w:rsidRDefault="00DB30BA" w:rsidP="00A715E6">
      <w:r>
        <w:separator/>
      </w:r>
    </w:p>
  </w:endnote>
  <w:endnote w:type="continuationSeparator" w:id="0">
    <w:p w14:paraId="1B65E2D0" w14:textId="77777777" w:rsidR="00DB30BA" w:rsidRDefault="00DB30BA" w:rsidP="00A7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wyn New Rounded Lt">
    <w:altName w:val="Calibri"/>
    <w:panose1 w:val="00000000000000000000"/>
    <w:charset w:val="00"/>
    <w:family w:val="modern"/>
    <w:notTrueType/>
    <w:pitch w:val="variable"/>
    <w:sig w:usb0="A00000AF" w:usb1="5000204A" w:usb2="00000000" w:usb3="00000000" w:csb0="0000008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F6EE" w14:textId="77777777" w:rsidR="006F664C" w:rsidRDefault="006F664C" w:rsidP="00A715E6">
    <w:pPr>
      <w:pStyle w:val="Pieddepage"/>
    </w:pPr>
    <w:r>
      <w:t>© Delagrave</w:t>
    </w:r>
  </w:p>
  <w:p w14:paraId="1228EF6A" w14:textId="77777777" w:rsidR="006F664C" w:rsidRDefault="006F664C" w:rsidP="00A715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05D77" w14:textId="77777777" w:rsidR="00DB30BA" w:rsidRDefault="00DB30BA" w:rsidP="00A715E6">
      <w:r>
        <w:separator/>
      </w:r>
    </w:p>
  </w:footnote>
  <w:footnote w:type="continuationSeparator" w:id="0">
    <w:p w14:paraId="5AE065AB" w14:textId="77777777" w:rsidR="00DB30BA" w:rsidRDefault="00DB30BA" w:rsidP="00A7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218"/>
    <w:multiLevelType w:val="hybridMultilevel"/>
    <w:tmpl w:val="8E1670F2"/>
    <w:lvl w:ilvl="0" w:tplc="8BD26DB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D2634"/>
    <w:multiLevelType w:val="hybridMultilevel"/>
    <w:tmpl w:val="6770C73A"/>
    <w:lvl w:ilvl="0" w:tplc="2EEEE91C">
      <w:start w:val="1"/>
      <w:numFmt w:val="bullet"/>
      <w:lvlText w:val="-"/>
      <w:lvlJc w:val="left"/>
      <w:pPr>
        <w:ind w:left="720" w:hanging="360"/>
      </w:pPr>
      <w:rPr>
        <w:rFonts w:ascii="Times New Roman" w:eastAsia="Wingding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2B25A9"/>
    <w:multiLevelType w:val="hybridMultilevel"/>
    <w:tmpl w:val="ED928CE6"/>
    <w:lvl w:ilvl="0" w:tplc="610EAB3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103B4DD2"/>
    <w:multiLevelType w:val="hybridMultilevel"/>
    <w:tmpl w:val="0AEAF7BE"/>
    <w:lvl w:ilvl="0" w:tplc="5DF2916A">
      <w:numFmt w:val="bullet"/>
      <w:lvlText w:val="–"/>
      <w:lvlJc w:val="left"/>
      <w:pPr>
        <w:ind w:left="408" w:hanging="360"/>
      </w:pPr>
      <w:rPr>
        <w:rFonts w:ascii="Calibri" w:eastAsia="Calibr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4" w15:restartNumberingAfterBreak="0">
    <w:nsid w:val="10DD2AC8"/>
    <w:multiLevelType w:val="hybridMultilevel"/>
    <w:tmpl w:val="EAF0BDFA"/>
    <w:lvl w:ilvl="0" w:tplc="E88284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C0049"/>
    <w:multiLevelType w:val="hybridMultilevel"/>
    <w:tmpl w:val="14B6F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C329DC"/>
    <w:multiLevelType w:val="hybridMultilevel"/>
    <w:tmpl w:val="2E2E04CE"/>
    <w:lvl w:ilvl="0" w:tplc="E1D0780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453233"/>
    <w:multiLevelType w:val="hybridMultilevel"/>
    <w:tmpl w:val="38D49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4C2C5F"/>
    <w:multiLevelType w:val="hybridMultilevel"/>
    <w:tmpl w:val="DAAEFEFC"/>
    <w:lvl w:ilvl="0" w:tplc="3982A8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CA5718"/>
    <w:multiLevelType w:val="hybridMultilevel"/>
    <w:tmpl w:val="BA96A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F067FF"/>
    <w:multiLevelType w:val="hybridMultilevel"/>
    <w:tmpl w:val="E104E7A2"/>
    <w:lvl w:ilvl="0" w:tplc="8738FC26">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0B46416"/>
    <w:multiLevelType w:val="hybridMultilevel"/>
    <w:tmpl w:val="BEE4C9F8"/>
    <w:lvl w:ilvl="0" w:tplc="1FCAED50">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11F68E0"/>
    <w:multiLevelType w:val="hybridMultilevel"/>
    <w:tmpl w:val="08F04902"/>
    <w:lvl w:ilvl="0" w:tplc="34109838">
      <w:start w:val="1"/>
      <w:numFmt w:val="decimal"/>
      <w:pStyle w:val="Titre2"/>
      <w:lvlText w:val="%1."/>
      <w:lvlJc w:val="left"/>
      <w:pPr>
        <w:ind w:left="360" w:hanging="360"/>
      </w:pPr>
    </w:lvl>
    <w:lvl w:ilvl="1" w:tplc="3846233E">
      <w:start w:val="1"/>
      <w:numFmt w:val="lowerLetter"/>
      <w:pStyle w:val="Titre3"/>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3" w15:restartNumberingAfterBreak="0">
    <w:nsid w:val="21724F7A"/>
    <w:multiLevelType w:val="hybridMultilevel"/>
    <w:tmpl w:val="FF248C6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392504E"/>
    <w:multiLevelType w:val="hybridMultilevel"/>
    <w:tmpl w:val="217C0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4D24B2"/>
    <w:multiLevelType w:val="hybridMultilevel"/>
    <w:tmpl w:val="0D3E4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D13AA0"/>
    <w:multiLevelType w:val="hybridMultilevel"/>
    <w:tmpl w:val="10780E94"/>
    <w:lvl w:ilvl="0" w:tplc="774E557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822AB2"/>
    <w:multiLevelType w:val="hybridMultilevel"/>
    <w:tmpl w:val="35A09942"/>
    <w:lvl w:ilvl="0" w:tplc="F088177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7E4F03"/>
    <w:multiLevelType w:val="hybridMultilevel"/>
    <w:tmpl w:val="84AE8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3F2934"/>
    <w:multiLevelType w:val="hybridMultilevel"/>
    <w:tmpl w:val="A448F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11644D7"/>
    <w:multiLevelType w:val="hybridMultilevel"/>
    <w:tmpl w:val="8B3844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1B05DCB"/>
    <w:multiLevelType w:val="hybridMultilevel"/>
    <w:tmpl w:val="F1A2578C"/>
    <w:lvl w:ilvl="0" w:tplc="040C0001">
      <w:start w:val="1"/>
      <w:numFmt w:val="bullet"/>
      <w:lvlText w:val=""/>
      <w:lvlJc w:val="left"/>
      <w:pPr>
        <w:ind w:left="408" w:hanging="360"/>
      </w:pPr>
      <w:rPr>
        <w:rFonts w:ascii="Symbol" w:hAnsi="Symbol"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2" w15:restartNumberingAfterBreak="0">
    <w:nsid w:val="33482152"/>
    <w:multiLevelType w:val="hybridMultilevel"/>
    <w:tmpl w:val="B69C1A80"/>
    <w:lvl w:ilvl="0" w:tplc="82849312">
      <w:numFmt w:val="bullet"/>
      <w:lvlText w:val="-"/>
      <w:lvlJc w:val="left"/>
      <w:pPr>
        <w:ind w:left="720" w:hanging="36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301E61"/>
    <w:multiLevelType w:val="hybridMultilevel"/>
    <w:tmpl w:val="572CB88E"/>
    <w:lvl w:ilvl="0" w:tplc="E9F63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814426"/>
    <w:multiLevelType w:val="hybridMultilevel"/>
    <w:tmpl w:val="517C7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87521DB"/>
    <w:multiLevelType w:val="hybridMultilevel"/>
    <w:tmpl w:val="27C61C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39294D"/>
    <w:multiLevelType w:val="multilevel"/>
    <w:tmpl w:val="5316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84081C"/>
    <w:multiLevelType w:val="hybridMultilevel"/>
    <w:tmpl w:val="97841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CD62963"/>
    <w:multiLevelType w:val="hybridMultilevel"/>
    <w:tmpl w:val="0B401104"/>
    <w:lvl w:ilvl="0" w:tplc="AD88BE1E">
      <w:numFmt w:val="bullet"/>
      <w:lvlText w:val="-"/>
      <w:lvlJc w:val="left"/>
      <w:pPr>
        <w:ind w:left="644"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02D3F90"/>
    <w:multiLevelType w:val="hybridMultilevel"/>
    <w:tmpl w:val="886AB22A"/>
    <w:lvl w:ilvl="0" w:tplc="040C0001">
      <w:start w:val="1"/>
      <w:numFmt w:val="bullet"/>
      <w:lvlText w:val=""/>
      <w:lvlJc w:val="left"/>
      <w:pPr>
        <w:ind w:left="1168" w:hanging="360"/>
      </w:pPr>
      <w:rPr>
        <w:rFonts w:ascii="Symbol" w:hAnsi="Symbol" w:hint="default"/>
      </w:rPr>
    </w:lvl>
    <w:lvl w:ilvl="1" w:tplc="040C0003">
      <w:start w:val="1"/>
      <w:numFmt w:val="bullet"/>
      <w:lvlText w:val="o"/>
      <w:lvlJc w:val="left"/>
      <w:pPr>
        <w:ind w:left="1888" w:hanging="360"/>
      </w:pPr>
      <w:rPr>
        <w:rFonts w:ascii="Courier New" w:hAnsi="Courier New" w:cs="Courier New" w:hint="default"/>
      </w:rPr>
    </w:lvl>
    <w:lvl w:ilvl="2" w:tplc="040C0005">
      <w:start w:val="1"/>
      <w:numFmt w:val="bullet"/>
      <w:lvlText w:val=""/>
      <w:lvlJc w:val="left"/>
      <w:pPr>
        <w:ind w:left="2608" w:hanging="360"/>
      </w:pPr>
      <w:rPr>
        <w:rFonts w:ascii="Wingdings" w:hAnsi="Wingdings" w:hint="default"/>
      </w:rPr>
    </w:lvl>
    <w:lvl w:ilvl="3" w:tplc="040C0001">
      <w:start w:val="1"/>
      <w:numFmt w:val="bullet"/>
      <w:lvlText w:val=""/>
      <w:lvlJc w:val="left"/>
      <w:pPr>
        <w:ind w:left="3328" w:hanging="360"/>
      </w:pPr>
      <w:rPr>
        <w:rFonts w:ascii="Symbol" w:hAnsi="Symbol" w:hint="default"/>
      </w:rPr>
    </w:lvl>
    <w:lvl w:ilvl="4" w:tplc="040C0003">
      <w:start w:val="1"/>
      <w:numFmt w:val="bullet"/>
      <w:lvlText w:val="o"/>
      <w:lvlJc w:val="left"/>
      <w:pPr>
        <w:ind w:left="4048" w:hanging="360"/>
      </w:pPr>
      <w:rPr>
        <w:rFonts w:ascii="Courier New" w:hAnsi="Courier New" w:cs="Courier New" w:hint="default"/>
      </w:rPr>
    </w:lvl>
    <w:lvl w:ilvl="5" w:tplc="040C0005">
      <w:start w:val="1"/>
      <w:numFmt w:val="bullet"/>
      <w:lvlText w:val=""/>
      <w:lvlJc w:val="left"/>
      <w:pPr>
        <w:ind w:left="4768" w:hanging="360"/>
      </w:pPr>
      <w:rPr>
        <w:rFonts w:ascii="Wingdings" w:hAnsi="Wingdings" w:hint="default"/>
      </w:rPr>
    </w:lvl>
    <w:lvl w:ilvl="6" w:tplc="040C0001">
      <w:start w:val="1"/>
      <w:numFmt w:val="bullet"/>
      <w:lvlText w:val=""/>
      <w:lvlJc w:val="left"/>
      <w:pPr>
        <w:ind w:left="5488" w:hanging="360"/>
      </w:pPr>
      <w:rPr>
        <w:rFonts w:ascii="Symbol" w:hAnsi="Symbol" w:hint="default"/>
      </w:rPr>
    </w:lvl>
    <w:lvl w:ilvl="7" w:tplc="040C0003">
      <w:start w:val="1"/>
      <w:numFmt w:val="bullet"/>
      <w:lvlText w:val="o"/>
      <w:lvlJc w:val="left"/>
      <w:pPr>
        <w:ind w:left="6208" w:hanging="360"/>
      </w:pPr>
      <w:rPr>
        <w:rFonts w:ascii="Courier New" w:hAnsi="Courier New" w:cs="Courier New" w:hint="default"/>
      </w:rPr>
    </w:lvl>
    <w:lvl w:ilvl="8" w:tplc="040C0005">
      <w:start w:val="1"/>
      <w:numFmt w:val="bullet"/>
      <w:lvlText w:val=""/>
      <w:lvlJc w:val="left"/>
      <w:pPr>
        <w:ind w:left="6928" w:hanging="360"/>
      </w:pPr>
      <w:rPr>
        <w:rFonts w:ascii="Wingdings" w:hAnsi="Wingdings" w:hint="default"/>
      </w:rPr>
    </w:lvl>
  </w:abstractNum>
  <w:abstractNum w:abstractNumId="30" w15:restartNumberingAfterBreak="0">
    <w:nsid w:val="412C0761"/>
    <w:multiLevelType w:val="hybridMultilevel"/>
    <w:tmpl w:val="A2EE1F12"/>
    <w:lvl w:ilvl="0" w:tplc="F1DE50F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2197254"/>
    <w:multiLevelType w:val="hybridMultilevel"/>
    <w:tmpl w:val="6DD4C506"/>
    <w:lvl w:ilvl="0" w:tplc="4614C8E4">
      <w:start w:val="3"/>
      <w:numFmt w:val="decimal"/>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32" w15:restartNumberingAfterBreak="0">
    <w:nsid w:val="4D674000"/>
    <w:multiLevelType w:val="hybridMultilevel"/>
    <w:tmpl w:val="F222A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A3638A"/>
    <w:multiLevelType w:val="hybridMultilevel"/>
    <w:tmpl w:val="D1180C80"/>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8034F3"/>
    <w:multiLevelType w:val="hybridMultilevel"/>
    <w:tmpl w:val="4746A27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E6345CA"/>
    <w:multiLevelType w:val="hybridMultilevel"/>
    <w:tmpl w:val="29784CE8"/>
    <w:lvl w:ilvl="0" w:tplc="040C0001">
      <w:start w:val="1"/>
      <w:numFmt w:val="bullet"/>
      <w:lvlText w:val=""/>
      <w:lvlJc w:val="left"/>
      <w:pPr>
        <w:ind w:left="1168" w:hanging="360"/>
      </w:pPr>
      <w:rPr>
        <w:rFonts w:ascii="Symbol" w:hAnsi="Symbol" w:hint="default"/>
      </w:rPr>
    </w:lvl>
    <w:lvl w:ilvl="1" w:tplc="040C0003">
      <w:start w:val="1"/>
      <w:numFmt w:val="bullet"/>
      <w:lvlText w:val="o"/>
      <w:lvlJc w:val="left"/>
      <w:pPr>
        <w:ind w:left="1888" w:hanging="360"/>
      </w:pPr>
      <w:rPr>
        <w:rFonts w:ascii="Courier New" w:hAnsi="Courier New" w:cs="Courier New" w:hint="default"/>
      </w:rPr>
    </w:lvl>
    <w:lvl w:ilvl="2" w:tplc="040C0005">
      <w:start w:val="1"/>
      <w:numFmt w:val="bullet"/>
      <w:lvlText w:val=""/>
      <w:lvlJc w:val="left"/>
      <w:pPr>
        <w:ind w:left="2608" w:hanging="360"/>
      </w:pPr>
      <w:rPr>
        <w:rFonts w:ascii="Wingdings" w:hAnsi="Wingdings" w:hint="default"/>
      </w:rPr>
    </w:lvl>
    <w:lvl w:ilvl="3" w:tplc="040C0001">
      <w:start w:val="1"/>
      <w:numFmt w:val="bullet"/>
      <w:lvlText w:val=""/>
      <w:lvlJc w:val="left"/>
      <w:pPr>
        <w:ind w:left="3328" w:hanging="360"/>
      </w:pPr>
      <w:rPr>
        <w:rFonts w:ascii="Symbol" w:hAnsi="Symbol" w:hint="default"/>
      </w:rPr>
    </w:lvl>
    <w:lvl w:ilvl="4" w:tplc="040C0003">
      <w:start w:val="1"/>
      <w:numFmt w:val="bullet"/>
      <w:lvlText w:val="o"/>
      <w:lvlJc w:val="left"/>
      <w:pPr>
        <w:ind w:left="4048" w:hanging="360"/>
      </w:pPr>
      <w:rPr>
        <w:rFonts w:ascii="Courier New" w:hAnsi="Courier New" w:cs="Courier New" w:hint="default"/>
      </w:rPr>
    </w:lvl>
    <w:lvl w:ilvl="5" w:tplc="040C0005">
      <w:start w:val="1"/>
      <w:numFmt w:val="bullet"/>
      <w:lvlText w:val=""/>
      <w:lvlJc w:val="left"/>
      <w:pPr>
        <w:ind w:left="4768" w:hanging="360"/>
      </w:pPr>
      <w:rPr>
        <w:rFonts w:ascii="Wingdings" w:hAnsi="Wingdings" w:hint="default"/>
      </w:rPr>
    </w:lvl>
    <w:lvl w:ilvl="6" w:tplc="040C0001">
      <w:start w:val="1"/>
      <w:numFmt w:val="bullet"/>
      <w:lvlText w:val=""/>
      <w:lvlJc w:val="left"/>
      <w:pPr>
        <w:ind w:left="5488" w:hanging="360"/>
      </w:pPr>
      <w:rPr>
        <w:rFonts w:ascii="Symbol" w:hAnsi="Symbol" w:hint="default"/>
      </w:rPr>
    </w:lvl>
    <w:lvl w:ilvl="7" w:tplc="040C0003">
      <w:start w:val="1"/>
      <w:numFmt w:val="bullet"/>
      <w:lvlText w:val="o"/>
      <w:lvlJc w:val="left"/>
      <w:pPr>
        <w:ind w:left="6208" w:hanging="360"/>
      </w:pPr>
      <w:rPr>
        <w:rFonts w:ascii="Courier New" w:hAnsi="Courier New" w:cs="Courier New" w:hint="default"/>
      </w:rPr>
    </w:lvl>
    <w:lvl w:ilvl="8" w:tplc="040C0005">
      <w:start w:val="1"/>
      <w:numFmt w:val="bullet"/>
      <w:lvlText w:val=""/>
      <w:lvlJc w:val="left"/>
      <w:pPr>
        <w:ind w:left="6928" w:hanging="360"/>
      </w:pPr>
      <w:rPr>
        <w:rFonts w:ascii="Wingdings" w:hAnsi="Wingdings" w:hint="default"/>
      </w:rPr>
    </w:lvl>
  </w:abstractNum>
  <w:abstractNum w:abstractNumId="36" w15:restartNumberingAfterBreak="0">
    <w:nsid w:val="61F83644"/>
    <w:multiLevelType w:val="hybridMultilevel"/>
    <w:tmpl w:val="D66CA332"/>
    <w:lvl w:ilvl="0" w:tplc="C6C03364">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BF04B9"/>
    <w:multiLevelType w:val="hybridMultilevel"/>
    <w:tmpl w:val="D1F67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F53567"/>
    <w:multiLevelType w:val="hybridMultilevel"/>
    <w:tmpl w:val="F670A6C0"/>
    <w:lvl w:ilvl="0" w:tplc="040C0011">
      <w:start w:val="3"/>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15:restartNumberingAfterBreak="0">
    <w:nsid w:val="6A1C0EBC"/>
    <w:multiLevelType w:val="hybridMultilevel"/>
    <w:tmpl w:val="04849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FA83CD8"/>
    <w:multiLevelType w:val="hybridMultilevel"/>
    <w:tmpl w:val="16F077E2"/>
    <w:lvl w:ilvl="0" w:tplc="49EC5A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27C3E2E"/>
    <w:multiLevelType w:val="hybridMultilevel"/>
    <w:tmpl w:val="731691E8"/>
    <w:lvl w:ilvl="0" w:tplc="E9F63DE8">
      <w:start w:val="1"/>
      <w:numFmt w:val="bullet"/>
      <w:lvlText w:val=""/>
      <w:lvlJc w:val="left"/>
      <w:pPr>
        <w:ind w:left="720" w:hanging="360"/>
      </w:pPr>
      <w:rPr>
        <w:rFonts w:ascii="Symbol" w:hAnsi="Symbol" w:hint="default"/>
      </w:rPr>
    </w:lvl>
    <w:lvl w:ilvl="1" w:tplc="DE66A966">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2563AC"/>
    <w:multiLevelType w:val="hybridMultilevel"/>
    <w:tmpl w:val="01BAB86C"/>
    <w:lvl w:ilvl="0" w:tplc="52620C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9C97331"/>
    <w:multiLevelType w:val="hybridMultilevel"/>
    <w:tmpl w:val="F51E1B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B500C66"/>
    <w:multiLevelType w:val="hybridMultilevel"/>
    <w:tmpl w:val="7144975C"/>
    <w:lvl w:ilvl="0" w:tplc="22127770">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3632D8"/>
    <w:multiLevelType w:val="hybridMultilevel"/>
    <w:tmpl w:val="9AA0721E"/>
    <w:lvl w:ilvl="0" w:tplc="0476961E">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23"/>
  </w:num>
  <w:num w:numId="4">
    <w:abstractNumId w:val="19"/>
  </w:num>
  <w:num w:numId="5">
    <w:abstractNumId w:val="5"/>
  </w:num>
  <w:num w:numId="6">
    <w:abstractNumId w:val="31"/>
  </w:num>
  <w:num w:numId="7">
    <w:abstractNumId w:val="44"/>
  </w:num>
  <w:num w:numId="8">
    <w:abstractNumId w:val="17"/>
  </w:num>
  <w:num w:numId="9">
    <w:abstractNumId w:val="15"/>
  </w:num>
  <w:num w:numId="10">
    <w:abstractNumId w:val="9"/>
  </w:num>
  <w:num w:numId="11">
    <w:abstractNumId w:val="42"/>
  </w:num>
  <w:num w:numId="12">
    <w:abstractNumId w:val="16"/>
  </w:num>
  <w:num w:numId="13">
    <w:abstractNumId w:val="33"/>
  </w:num>
  <w:num w:numId="14">
    <w:abstractNumId w:val="20"/>
  </w:num>
  <w:num w:numId="15">
    <w:abstractNumId w:val="2"/>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8"/>
  </w:num>
  <w:num w:numId="21">
    <w:abstractNumId w:val="36"/>
  </w:num>
  <w:num w:numId="22">
    <w:abstractNumId w:val="22"/>
  </w:num>
  <w:num w:numId="23">
    <w:abstractNumId w:val="10"/>
  </w:num>
  <w:num w:numId="24">
    <w:abstractNumId w:val="26"/>
  </w:num>
  <w:num w:numId="25">
    <w:abstractNumId w:val="30"/>
  </w:num>
  <w:num w:numId="26">
    <w:abstractNumId w:val="4"/>
  </w:num>
  <w:num w:numId="27">
    <w:abstractNumId w:val="25"/>
  </w:num>
  <w:num w:numId="28">
    <w:abstractNumId w:val="8"/>
  </w:num>
  <w:num w:numId="29">
    <w:abstractNumId w:val="13"/>
  </w:num>
  <w:num w:numId="30">
    <w:abstractNumId w:val="18"/>
  </w:num>
  <w:num w:numId="31">
    <w:abstractNumId w:val="32"/>
  </w:num>
  <w:num w:numId="32">
    <w:abstractNumId w:val="0"/>
  </w:num>
  <w:num w:numId="33">
    <w:abstractNumId w:val="39"/>
  </w:num>
  <w:num w:numId="34">
    <w:abstractNumId w:val="40"/>
  </w:num>
  <w:num w:numId="35">
    <w:abstractNumId w:val="34"/>
  </w:num>
  <w:num w:numId="36">
    <w:abstractNumId w:val="11"/>
  </w:num>
  <w:num w:numId="37">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9"/>
  </w:num>
  <w:num w:numId="40">
    <w:abstractNumId w:val="38"/>
  </w:num>
  <w:num w:numId="41">
    <w:abstractNumId w:val="7"/>
  </w:num>
  <w:num w:numId="42">
    <w:abstractNumId w:val="24"/>
  </w:num>
  <w:num w:numId="43">
    <w:abstractNumId w:val="3"/>
  </w:num>
  <w:num w:numId="44">
    <w:abstractNumId w:val="21"/>
  </w:num>
  <w:num w:numId="45">
    <w:abstractNumId w:val="43"/>
  </w:num>
  <w:num w:numId="46">
    <w:abstractNumId w:val="37"/>
  </w:num>
  <w:num w:numId="47">
    <w:abstractNumId w:val="6"/>
  </w:num>
  <w:num w:numId="48">
    <w:abstractNumId w:val="2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DE2"/>
    <w:rsid w:val="000121C8"/>
    <w:rsid w:val="00102E1C"/>
    <w:rsid w:val="00136335"/>
    <w:rsid w:val="001573AC"/>
    <w:rsid w:val="001B4D1C"/>
    <w:rsid w:val="001B5DE2"/>
    <w:rsid w:val="001E63E0"/>
    <w:rsid w:val="001F236C"/>
    <w:rsid w:val="00206267"/>
    <w:rsid w:val="003521D7"/>
    <w:rsid w:val="003525DC"/>
    <w:rsid w:val="00356543"/>
    <w:rsid w:val="003A6F4D"/>
    <w:rsid w:val="003B7549"/>
    <w:rsid w:val="00404A02"/>
    <w:rsid w:val="0047131D"/>
    <w:rsid w:val="00471A56"/>
    <w:rsid w:val="004A2233"/>
    <w:rsid w:val="00525C0E"/>
    <w:rsid w:val="00553262"/>
    <w:rsid w:val="0056408A"/>
    <w:rsid w:val="005D1398"/>
    <w:rsid w:val="00681F78"/>
    <w:rsid w:val="006A20A6"/>
    <w:rsid w:val="006C3752"/>
    <w:rsid w:val="006F664C"/>
    <w:rsid w:val="00742874"/>
    <w:rsid w:val="00880A2E"/>
    <w:rsid w:val="008A0A64"/>
    <w:rsid w:val="008D3203"/>
    <w:rsid w:val="008D65F8"/>
    <w:rsid w:val="00916B25"/>
    <w:rsid w:val="009517EE"/>
    <w:rsid w:val="00986690"/>
    <w:rsid w:val="009A5D11"/>
    <w:rsid w:val="009A7EAA"/>
    <w:rsid w:val="00A12245"/>
    <w:rsid w:val="00A12BB3"/>
    <w:rsid w:val="00A24130"/>
    <w:rsid w:val="00A6547F"/>
    <w:rsid w:val="00A715E6"/>
    <w:rsid w:val="00A742CC"/>
    <w:rsid w:val="00AF13E7"/>
    <w:rsid w:val="00B77771"/>
    <w:rsid w:val="00B94FF6"/>
    <w:rsid w:val="00BE03ED"/>
    <w:rsid w:val="00BF7364"/>
    <w:rsid w:val="00C04123"/>
    <w:rsid w:val="00C511AB"/>
    <w:rsid w:val="00C73FC0"/>
    <w:rsid w:val="00CA5B74"/>
    <w:rsid w:val="00CB2DB8"/>
    <w:rsid w:val="00CB7E6C"/>
    <w:rsid w:val="00CC3125"/>
    <w:rsid w:val="00D0388E"/>
    <w:rsid w:val="00D71156"/>
    <w:rsid w:val="00DB30BA"/>
    <w:rsid w:val="00DF77E2"/>
    <w:rsid w:val="00E213FA"/>
    <w:rsid w:val="00E31277"/>
    <w:rsid w:val="00E71C06"/>
    <w:rsid w:val="00E72EB7"/>
    <w:rsid w:val="00F10F58"/>
    <w:rsid w:val="00F35C1F"/>
    <w:rsid w:val="00F75BD1"/>
    <w:rsid w:val="00FD177E"/>
    <w:rsid w:val="00FF4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6D54424"/>
  <w15:docId w15:val="{8043AF55-0C98-46AA-BDCD-EB24219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5E6"/>
    <w:pPr>
      <w:spacing w:after="200" w:line="276" w:lineRule="auto"/>
      <w:jc w:val="both"/>
    </w:pPr>
    <w:rPr>
      <w:rFonts w:asciiTheme="minorHAnsi" w:hAnsiTheme="minorHAnsi" w:cstheme="minorHAnsi"/>
      <w:sz w:val="22"/>
      <w:szCs w:val="22"/>
      <w:lang w:eastAsia="en-US"/>
    </w:rPr>
  </w:style>
  <w:style w:type="paragraph" w:styleId="Titre1">
    <w:name w:val="heading 1"/>
    <w:basedOn w:val="Normal"/>
    <w:next w:val="Normal"/>
    <w:link w:val="Titre1Car"/>
    <w:uiPriority w:val="9"/>
    <w:qFormat/>
    <w:rsid w:val="00E72EB7"/>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E72EB7"/>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E72EB7"/>
    <w:pPr>
      <w:numPr>
        <w:ilvl w:val="1"/>
      </w:numPr>
      <w:outlineLvl w:val="2"/>
    </w:pPr>
    <w:rPr>
      <w:color w:val="943634" w:themeColor="accent2" w:themeShade="BF"/>
    </w:rPr>
  </w:style>
  <w:style w:type="paragraph" w:styleId="Titre4">
    <w:name w:val="heading 4"/>
    <w:basedOn w:val="Normal"/>
    <w:next w:val="Normal"/>
    <w:link w:val="Titre4Car"/>
    <w:uiPriority w:val="9"/>
    <w:unhideWhenUsed/>
    <w:qFormat/>
    <w:rsid w:val="0098669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2EB7"/>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E72EB7"/>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E72EB7"/>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6F664C"/>
    <w:pPr>
      <w:tabs>
        <w:tab w:val="center" w:pos="4536"/>
        <w:tab w:val="right" w:pos="9072"/>
      </w:tabs>
      <w:spacing w:after="0" w:line="240" w:lineRule="auto"/>
    </w:pPr>
  </w:style>
  <w:style w:type="character" w:customStyle="1" w:styleId="En-tteCar">
    <w:name w:val="En-tête Car"/>
    <w:basedOn w:val="Policepardfaut"/>
    <w:link w:val="En-tte"/>
    <w:uiPriority w:val="99"/>
    <w:rsid w:val="006F664C"/>
    <w:rPr>
      <w:sz w:val="22"/>
      <w:szCs w:val="22"/>
      <w:lang w:eastAsia="en-US"/>
    </w:rPr>
  </w:style>
  <w:style w:type="paragraph" w:styleId="Pieddepage">
    <w:name w:val="footer"/>
    <w:basedOn w:val="Normal"/>
    <w:link w:val="PieddepageCar"/>
    <w:uiPriority w:val="99"/>
    <w:unhideWhenUsed/>
    <w:rsid w:val="006F66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664C"/>
    <w:rPr>
      <w:sz w:val="22"/>
      <w:szCs w:val="22"/>
      <w:lang w:eastAsia="en-US"/>
    </w:rPr>
  </w:style>
  <w:style w:type="paragraph" w:styleId="Textedebulles">
    <w:name w:val="Balloon Text"/>
    <w:basedOn w:val="Normal"/>
    <w:link w:val="TextedebullesCar"/>
    <w:uiPriority w:val="99"/>
    <w:semiHidden/>
    <w:unhideWhenUsed/>
    <w:rsid w:val="006F66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64C"/>
    <w:rPr>
      <w:rFonts w:ascii="Tahoma" w:hAnsi="Tahoma" w:cs="Tahoma"/>
      <w:sz w:val="16"/>
      <w:szCs w:val="16"/>
      <w:lang w:eastAsia="en-US"/>
    </w:rPr>
  </w:style>
  <w:style w:type="paragraph" w:styleId="Paragraphedeliste">
    <w:name w:val="List Paragraph"/>
    <w:basedOn w:val="Normal"/>
    <w:uiPriority w:val="34"/>
    <w:qFormat/>
    <w:rsid w:val="00A715E6"/>
    <w:pPr>
      <w:ind w:left="720"/>
      <w:contextualSpacing/>
    </w:pPr>
    <w:rPr>
      <w:rFonts w:eastAsiaTheme="minorHAnsi" w:cstheme="minorBidi"/>
    </w:rPr>
  </w:style>
  <w:style w:type="paragraph" w:customStyle="1" w:styleId="07Courstitreniveau2">
    <w:name w:val="07_Cours_titre_niveau_2"/>
    <w:basedOn w:val="Normal"/>
    <w:uiPriority w:val="99"/>
    <w:rsid w:val="003A6F4D"/>
    <w:pPr>
      <w:widowControl w:val="0"/>
      <w:spacing w:before="240" w:after="120" w:line="240" w:lineRule="auto"/>
      <w:ind w:left="720" w:hanging="360"/>
      <w:jc w:val="left"/>
    </w:pPr>
    <w:rPr>
      <w:rFonts w:ascii="Arial" w:eastAsia="Times New Roman" w:hAnsi="Arial" w:cs="Times New Roman"/>
      <w:b/>
      <w:bCs/>
      <w:sz w:val="26"/>
      <w:szCs w:val="24"/>
      <w:lang w:eastAsia="fr-FR"/>
    </w:rPr>
  </w:style>
  <w:style w:type="table" w:styleId="Grilledutableau">
    <w:name w:val="Table Grid"/>
    <w:basedOn w:val="TableauNormal"/>
    <w:uiPriority w:val="59"/>
    <w:rsid w:val="003A6F4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3521D7"/>
    <w:pPr>
      <w:jc w:val="both"/>
    </w:pPr>
    <w:rPr>
      <w:rFonts w:asciiTheme="minorHAnsi" w:hAnsiTheme="minorHAnsi" w:cstheme="minorHAnsi"/>
      <w:sz w:val="22"/>
      <w:szCs w:val="22"/>
      <w:lang w:eastAsia="en-US"/>
    </w:rPr>
  </w:style>
  <w:style w:type="character" w:customStyle="1" w:styleId="Titre4Car">
    <w:name w:val="Titre 4 Car"/>
    <w:basedOn w:val="Policepardfaut"/>
    <w:link w:val="Titre4"/>
    <w:uiPriority w:val="9"/>
    <w:rsid w:val="00986690"/>
    <w:rPr>
      <w:rFonts w:asciiTheme="majorHAnsi" w:eastAsiaTheme="majorEastAsia" w:hAnsiTheme="majorHAnsi" w:cstheme="majorBidi"/>
      <w:i/>
      <w:iCs/>
      <w:color w:val="365F91" w:themeColor="accent1" w:themeShade="BF"/>
      <w:sz w:val="22"/>
      <w:szCs w:val="22"/>
      <w:lang w:eastAsia="en-US"/>
    </w:rPr>
  </w:style>
  <w:style w:type="character" w:styleId="lev">
    <w:name w:val="Strong"/>
    <w:qFormat/>
    <w:rsid w:val="009517EE"/>
    <w:rPr>
      <w:b/>
      <w:bCs/>
    </w:rPr>
  </w:style>
  <w:style w:type="paragraph" w:customStyle="1" w:styleId="Contenudetableau">
    <w:name w:val="Contenu de tableau"/>
    <w:basedOn w:val="Normal"/>
    <w:rsid w:val="009517EE"/>
    <w:pPr>
      <w:suppressLineNumbers/>
      <w:suppressAutoHyphens/>
      <w:spacing w:after="0" w:line="240" w:lineRule="auto"/>
      <w:jc w:val="left"/>
    </w:pPr>
    <w:rPr>
      <w:rFonts w:ascii="Liberation Serif" w:eastAsia="NSimSun" w:hAnsi="Liberation Serif" w:cs="Arial"/>
      <w:kern w:val="2"/>
      <w:sz w:val="24"/>
      <w:szCs w:val="24"/>
      <w:lang w:eastAsia="zh-CN" w:bidi="hi-IN"/>
    </w:rPr>
  </w:style>
  <w:style w:type="paragraph" w:styleId="NormalWeb">
    <w:name w:val="Normal (Web)"/>
    <w:basedOn w:val="Normal"/>
    <w:uiPriority w:val="99"/>
    <w:semiHidden/>
    <w:unhideWhenUsed/>
    <w:rsid w:val="005D1398"/>
    <w:pPr>
      <w:jc w:val="left"/>
    </w:pPr>
    <w:rPr>
      <w:rFonts w:ascii="Times New Roman" w:eastAsiaTheme="minorHAnsi" w:hAnsi="Times New Roman" w:cs="Times New Roman"/>
      <w:sz w:val="24"/>
      <w:szCs w:val="24"/>
    </w:rPr>
  </w:style>
  <w:style w:type="character" w:customStyle="1" w:styleId="e24kjd">
    <w:name w:val="e24kjd"/>
    <w:basedOn w:val="Policepardfaut"/>
    <w:rsid w:val="009A7EAA"/>
  </w:style>
  <w:style w:type="character" w:styleId="Marquedecommentaire">
    <w:name w:val="annotation reference"/>
    <w:basedOn w:val="Policepardfaut"/>
    <w:uiPriority w:val="99"/>
    <w:semiHidden/>
    <w:unhideWhenUsed/>
    <w:rsid w:val="009A7EAA"/>
    <w:rPr>
      <w:sz w:val="16"/>
      <w:szCs w:val="16"/>
    </w:rPr>
  </w:style>
  <w:style w:type="paragraph" w:styleId="Commentaire">
    <w:name w:val="annotation text"/>
    <w:basedOn w:val="Normal"/>
    <w:link w:val="CommentaireCar"/>
    <w:uiPriority w:val="99"/>
    <w:semiHidden/>
    <w:unhideWhenUsed/>
    <w:rsid w:val="009A7EAA"/>
    <w:pPr>
      <w:spacing w:line="240" w:lineRule="auto"/>
    </w:pPr>
    <w:rPr>
      <w:sz w:val="20"/>
      <w:szCs w:val="20"/>
    </w:rPr>
  </w:style>
  <w:style w:type="character" w:customStyle="1" w:styleId="CommentaireCar">
    <w:name w:val="Commentaire Car"/>
    <w:basedOn w:val="Policepardfaut"/>
    <w:link w:val="Commentaire"/>
    <w:uiPriority w:val="99"/>
    <w:semiHidden/>
    <w:rsid w:val="009A7EAA"/>
    <w:rPr>
      <w:rFonts w:asciiTheme="minorHAnsi" w:hAnsiTheme="minorHAnsi" w:cstheme="minorHAnsi"/>
      <w:lang w:eastAsia="en-US"/>
    </w:rPr>
  </w:style>
  <w:style w:type="paragraph" w:styleId="Objetducommentaire">
    <w:name w:val="annotation subject"/>
    <w:basedOn w:val="Commentaire"/>
    <w:next w:val="Commentaire"/>
    <w:link w:val="ObjetducommentaireCar"/>
    <w:uiPriority w:val="99"/>
    <w:semiHidden/>
    <w:unhideWhenUsed/>
    <w:rsid w:val="009A7EAA"/>
    <w:rPr>
      <w:b/>
      <w:bCs/>
    </w:rPr>
  </w:style>
  <w:style w:type="character" w:customStyle="1" w:styleId="ObjetducommentaireCar">
    <w:name w:val="Objet du commentaire Car"/>
    <w:basedOn w:val="CommentaireCar"/>
    <w:link w:val="Objetducommentaire"/>
    <w:uiPriority w:val="99"/>
    <w:semiHidden/>
    <w:rsid w:val="009A7EAA"/>
    <w:rPr>
      <w:rFonts w:asciiTheme="minorHAnsi" w:hAnsiTheme="minorHAnsi" w:cstheme="minorHAnsi"/>
      <w:b/>
      <w:bCs/>
      <w:lang w:eastAsia="en-US"/>
    </w:rPr>
  </w:style>
  <w:style w:type="paragraph" w:customStyle="1" w:styleId="Txtcourant">
    <w:name w:val="Txt_courant"/>
    <w:basedOn w:val="Normal"/>
    <w:uiPriority w:val="99"/>
    <w:rsid w:val="001E63E0"/>
    <w:pPr>
      <w:widowControl w:val="0"/>
      <w:autoSpaceDE w:val="0"/>
      <w:autoSpaceDN w:val="0"/>
      <w:adjustRightInd w:val="0"/>
      <w:spacing w:after="0" w:line="280" w:lineRule="atLeast"/>
      <w:ind w:left="448"/>
      <w:jc w:val="left"/>
    </w:pPr>
    <w:rPr>
      <w:rFonts w:ascii="Arial" w:eastAsia="Times New Roman" w:hAnsi="Arial" w:cs="Arial"/>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749525">
      <w:bodyDiv w:val="1"/>
      <w:marLeft w:val="0"/>
      <w:marRight w:val="0"/>
      <w:marTop w:val="0"/>
      <w:marBottom w:val="0"/>
      <w:divBdr>
        <w:top w:val="none" w:sz="0" w:space="0" w:color="auto"/>
        <w:left w:val="none" w:sz="0" w:space="0" w:color="auto"/>
        <w:bottom w:val="none" w:sz="0" w:space="0" w:color="auto"/>
        <w:right w:val="none" w:sz="0" w:space="0" w:color="auto"/>
      </w:divBdr>
    </w:div>
    <w:div w:id="1575509266">
      <w:bodyDiv w:val="1"/>
      <w:marLeft w:val="0"/>
      <w:marRight w:val="0"/>
      <w:marTop w:val="0"/>
      <w:marBottom w:val="0"/>
      <w:divBdr>
        <w:top w:val="none" w:sz="0" w:space="0" w:color="auto"/>
        <w:left w:val="none" w:sz="0" w:space="0" w:color="auto"/>
        <w:bottom w:val="none" w:sz="0" w:space="0" w:color="auto"/>
        <w:right w:val="none" w:sz="0" w:space="0" w:color="auto"/>
      </w:divBdr>
    </w:div>
    <w:div w:id="19643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3690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anne bonpain</cp:lastModifiedBy>
  <cp:revision>7</cp:revision>
  <dcterms:created xsi:type="dcterms:W3CDTF">2020-04-03T10:01:00Z</dcterms:created>
  <dcterms:modified xsi:type="dcterms:W3CDTF">2020-04-03T10:25:00Z</dcterms:modified>
</cp:coreProperties>
</file>