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3CCFC" w14:textId="77777777" w:rsidR="003A7F1A" w:rsidRDefault="003A7F1A" w:rsidP="00136335">
      <w:pPr>
        <w:rPr>
          <w:rFonts w:cstheme="minorBidi"/>
          <w:b/>
        </w:rPr>
      </w:pPr>
    </w:p>
    <w:p w14:paraId="2C1959CA" w14:textId="2FDC640D" w:rsidR="00406C4A" w:rsidRPr="006B223C" w:rsidRDefault="00D334A6" w:rsidP="00725B6F">
      <w:pPr>
        <w:pStyle w:val="Titre1"/>
        <w:rPr>
          <w:rFonts w:cstheme="minorBidi"/>
        </w:rPr>
      </w:pPr>
      <w:r>
        <w:rPr>
          <w:noProof/>
          <w:lang w:eastAsia="fr-FR"/>
        </w:rPr>
        <w:pict w14:anchorId="2FFB9C6D">
          <v:group id="_x0000_s1035" style="position:absolute;left:0;text-align:left;margin-left:0;margin-top:0;width:453.6pt;height:84.65pt;z-index:251666432;mso-position-horizontal:center;mso-position-horizontal-relative:margin;mso-position-vertical:top;mso-position-vertical-relative:margin" coordorigin="1417,1417" coordsize="9072,169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4844;top:1417;width:5645;height:1693;mso-position-horizontal:right;mso-position-horizontal-relative:margin;mso-position-vertical:top;mso-position-vertical-relative:margin">
              <v:imagedata r:id="rId7" o:title="gestion-finance"/>
            </v:shape>
            <v:group id="_x0000_s1034" style="position:absolute;left:1417;top:1574;width:3076;height:1379" coordorigin="1417,1424" coordsize="3076,1379">
              <v:shape id="_x0000_s1032" type="#_x0000_t75" style="position:absolute;left:1417;top:1424;width:3076;height:852;mso-position-horizontal:left;mso-position-horizontal-relative:margin;mso-position-vertical:top;mso-position-vertical-relative:margin">
                <v:imagedata r:id="rId8" o:title="essentiel"/>
              </v:shape>
              <v:shape id="_x0000_s1033" type="#_x0000_t75" style="position:absolute;left:2025;top:2236;width:1859;height:567;mso-position-horizontal-relative:text;mso-position-vertical-relative:text;mso-width-relative:page;mso-height-relative:page">
                <v:imagedata r:id="rId9" o:title="tle"/>
              </v:shape>
            </v:group>
            <w10:wrap type="square" anchorx="margin" anchory="margin"/>
          </v:group>
        </w:pict>
      </w:r>
      <w:r w:rsidR="00406C4A">
        <w:t>Chapitre 14</w:t>
      </w:r>
      <w:r w:rsidR="00725B6F">
        <w:t> :</w:t>
      </w:r>
      <w:r w:rsidR="00406C4A">
        <w:t xml:space="preserve"> L’optimisation de la trésorerie</w:t>
      </w:r>
    </w:p>
    <w:p w14:paraId="639676B1" w14:textId="77777777" w:rsidR="00406C4A" w:rsidRDefault="00406C4A" w:rsidP="00725B6F"/>
    <w:p w14:paraId="1E545C1D" w14:textId="77777777" w:rsidR="00406C4A" w:rsidRDefault="00406C4A" w:rsidP="00725B6F">
      <w:pPr>
        <w:pStyle w:val="Titre2"/>
      </w:pPr>
      <w:r>
        <w:t>Le budget de trésorerie</w:t>
      </w:r>
    </w:p>
    <w:p w14:paraId="255E8906" w14:textId="04E69DC0" w:rsidR="00406C4A" w:rsidRDefault="00406C4A" w:rsidP="00406C4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</w:rPr>
        <w:t>Il présente sous forme de tableau les encaissements et les décaissements prévisionnels d’une entreprise. Il permet de connaitre le montant disponible de trésorerie, c'est-à-dire les sommes d’argent disponibles en banque et en caisse. La trésorerie est un élément essentiel à la pérennité de l’entreprise. En effet, une entreprise ne peut fonctionner que si elle dispose de ressources financières suffisantes pour honorer ses différentes dépenses : salaires, dettes fournisseurs, impôts etc</w:t>
      </w:r>
      <w:r w:rsidR="00725B6F">
        <w:rPr>
          <w:color w:val="000000"/>
        </w:rPr>
        <w:t>.</w:t>
      </w:r>
    </w:p>
    <w:p w14:paraId="36BB5F68" w14:textId="77777777" w:rsidR="00406C4A" w:rsidRDefault="00406C4A" w:rsidP="00406C4A">
      <w:pPr>
        <w:pStyle w:val="Paragraphedeliste"/>
        <w:autoSpaceDE w:val="0"/>
        <w:autoSpaceDN w:val="0"/>
        <w:adjustRightInd w:val="0"/>
        <w:ind w:left="1004"/>
        <w:rPr>
          <w:b/>
          <w:color w:val="000000"/>
          <w:sz w:val="28"/>
          <w:szCs w:val="28"/>
          <w:u w:val="single"/>
        </w:rPr>
      </w:pPr>
    </w:p>
    <w:p w14:paraId="4D47E369" w14:textId="68760147" w:rsidR="00406C4A" w:rsidRDefault="00406C4A" w:rsidP="00725B6F">
      <w:pPr>
        <w:pStyle w:val="Titre2"/>
      </w:pPr>
      <w:r>
        <w:t>La démarche budgétaire</w:t>
      </w:r>
    </w:p>
    <w:p w14:paraId="59EC09AF" w14:textId="77777777" w:rsidR="00406C4A" w:rsidRDefault="00406C4A" w:rsidP="00406C4A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</w:rPr>
        <w:t>Plusieurs types de budgets impactent le budget de trésorerie :</w:t>
      </w:r>
    </w:p>
    <w:p w14:paraId="4F3C76E9" w14:textId="77777777" w:rsidR="00406C4A" w:rsidRDefault="00406C4A" w:rsidP="00406C4A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left"/>
        <w:rPr>
          <w:color w:val="000000"/>
        </w:rPr>
      </w:pPr>
      <w:r>
        <w:rPr>
          <w:noProof/>
        </w:rPr>
        <w:t xml:space="preserve">Les </w:t>
      </w:r>
      <w:r>
        <w:rPr>
          <w:b/>
          <w:noProof/>
        </w:rPr>
        <w:t>budgets opérationnels</w:t>
      </w:r>
      <w:r>
        <w:rPr>
          <w:noProof/>
        </w:rPr>
        <w:t>, c'est-à-dire tous les budgets qui participent au cycle d’exploitation : ventes, achat….</w:t>
      </w:r>
    </w:p>
    <w:p w14:paraId="5DAA978B" w14:textId="031FB5BC" w:rsidR="00406C4A" w:rsidRDefault="00406C4A" w:rsidP="00406C4A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left"/>
        <w:rPr>
          <w:color w:val="000000"/>
        </w:rPr>
      </w:pPr>
      <w:r>
        <w:rPr>
          <w:b/>
          <w:noProof/>
        </w:rPr>
        <w:t>le budget d’investissement</w:t>
      </w:r>
      <w:r>
        <w:rPr>
          <w:noProof/>
        </w:rPr>
        <w:t xml:space="preserve"> (acquisition d’une immobilisation)</w:t>
      </w:r>
      <w:r w:rsidR="00E2317E">
        <w:rPr>
          <w:noProof/>
        </w:rPr>
        <w:t> ;</w:t>
      </w:r>
    </w:p>
    <w:p w14:paraId="74849399" w14:textId="728BA38B" w:rsidR="00406C4A" w:rsidRPr="00E2317E" w:rsidRDefault="00406C4A" w:rsidP="00406C4A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left"/>
        <w:rPr>
          <w:color w:val="000000"/>
        </w:rPr>
      </w:pPr>
      <w:r>
        <w:rPr>
          <w:b/>
          <w:noProof/>
        </w:rPr>
        <w:t>le budget de financement</w:t>
      </w:r>
      <w:r>
        <w:rPr>
          <w:noProof/>
        </w:rPr>
        <w:t xml:space="preserve"> (emprunt, apport d’argent par les associés…)</w:t>
      </w:r>
      <w:r w:rsidR="00E2317E">
        <w:rPr>
          <w:noProof/>
        </w:rPr>
        <w:t>.</w:t>
      </w:r>
    </w:p>
    <w:p w14:paraId="78628073" w14:textId="77777777" w:rsidR="00E2317E" w:rsidRDefault="00E2317E" w:rsidP="00E2317E">
      <w:pPr>
        <w:pStyle w:val="Paragraphedeliste"/>
        <w:autoSpaceDE w:val="0"/>
        <w:autoSpaceDN w:val="0"/>
        <w:adjustRightInd w:val="0"/>
        <w:spacing w:after="0" w:line="240" w:lineRule="auto"/>
        <w:jc w:val="left"/>
        <w:rPr>
          <w:color w:val="000000"/>
        </w:rPr>
      </w:pPr>
    </w:p>
    <w:p w14:paraId="4D5E3903" w14:textId="01404F62" w:rsidR="00406C4A" w:rsidRDefault="00E2317E" w:rsidP="00406C4A">
      <w:pPr>
        <w:autoSpaceDE w:val="0"/>
        <w:autoSpaceDN w:val="0"/>
        <w:adjustRightInd w:val="0"/>
        <w:rPr>
          <w:noProof/>
        </w:rPr>
      </w:pPr>
      <w:r>
        <w:rPr>
          <w:noProof/>
        </w:rPr>
        <w:drawing>
          <wp:inline distT="0" distB="0" distL="0" distR="0" wp14:anchorId="1B320153" wp14:editId="1AC86619">
            <wp:extent cx="5760720" cy="2828925"/>
            <wp:effectExtent l="0" t="0" r="0" b="9525"/>
            <wp:docPr id="1" name="Image 1" descr="Une image contenant texte, car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14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BE170F" w14:textId="77777777" w:rsidR="00406C4A" w:rsidRDefault="00406C4A" w:rsidP="00406C4A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>Il faut donc les établir pour arriver au final à établir le budget de trésorerie. Pour établir correctement les budgets, il faut :</w:t>
      </w:r>
    </w:p>
    <w:p w14:paraId="418774AA" w14:textId="6B4502CD" w:rsidR="00406C4A" w:rsidRDefault="00406C4A" w:rsidP="00E2317E">
      <w:pPr>
        <w:pStyle w:val="Paragraphedeliste"/>
        <w:numPr>
          <w:ilvl w:val="0"/>
          <w:numId w:val="9"/>
        </w:numPr>
        <w:rPr>
          <w:lang w:eastAsia="fr-FR"/>
        </w:rPr>
      </w:pPr>
      <w:r>
        <w:rPr>
          <w:lang w:eastAsia="fr-FR"/>
        </w:rPr>
        <w:t>respecter leur interdépendance</w:t>
      </w:r>
      <w:r w:rsidR="00E2317E">
        <w:rPr>
          <w:lang w:eastAsia="fr-FR"/>
        </w:rPr>
        <w:t> ;</w:t>
      </w:r>
    </w:p>
    <w:p w14:paraId="04936BE9" w14:textId="77777777" w:rsidR="00406C4A" w:rsidRDefault="00406C4A" w:rsidP="00E2317E">
      <w:pPr>
        <w:pStyle w:val="Paragraphedeliste"/>
        <w:numPr>
          <w:ilvl w:val="0"/>
          <w:numId w:val="9"/>
        </w:numPr>
        <w:rPr>
          <w:lang w:eastAsia="fr-FR"/>
        </w:rPr>
      </w:pPr>
      <w:r>
        <w:rPr>
          <w:lang w:eastAsia="fr-FR"/>
        </w:rPr>
        <w:t xml:space="preserve">respecter leur hiérarchie. </w:t>
      </w:r>
    </w:p>
    <w:p w14:paraId="269F8E6E" w14:textId="77777777" w:rsidR="00406C4A" w:rsidRDefault="00406C4A" w:rsidP="00406C4A">
      <w:pPr>
        <w:autoSpaceDE w:val="0"/>
        <w:autoSpaceDN w:val="0"/>
        <w:adjustRightInd w:val="0"/>
        <w:rPr>
          <w:rFonts w:eastAsia="Times New Roman" w:cs="Arial"/>
          <w:b/>
          <w:sz w:val="28"/>
          <w:szCs w:val="28"/>
          <w:u w:val="single"/>
          <w:lang w:eastAsia="fr-FR"/>
        </w:rPr>
      </w:pPr>
    </w:p>
    <w:p w14:paraId="5227E20F" w14:textId="6D0E3AF0" w:rsidR="00406C4A" w:rsidRDefault="00406C4A" w:rsidP="00725B6F">
      <w:pPr>
        <w:pStyle w:val="Titre2"/>
      </w:pPr>
      <w:r>
        <w:t xml:space="preserve">L’élaboration des budgets </w:t>
      </w:r>
    </w:p>
    <w:p w14:paraId="3F74440C" w14:textId="67A285FC" w:rsidR="00406C4A" w:rsidRDefault="00406C4A" w:rsidP="00E2317E">
      <w:pPr>
        <w:pStyle w:val="Titre3"/>
      </w:pPr>
      <w:r>
        <w:rPr>
          <w:noProof/>
        </w:rPr>
        <w:t>1</w:t>
      </w:r>
      <w:r>
        <w:rPr>
          <w:noProof/>
          <w:vertAlign w:val="superscript"/>
        </w:rPr>
        <w:t>re</w:t>
      </w:r>
      <w:r>
        <w:rPr>
          <w:noProof/>
        </w:rPr>
        <w:t xml:space="preserve"> étape : </w:t>
      </w:r>
      <w:r w:rsidR="00E2317E">
        <w:rPr>
          <w:noProof/>
        </w:rPr>
        <w:t>le b</w:t>
      </w:r>
      <w:proofErr w:type="spellStart"/>
      <w:r>
        <w:t>udget</w:t>
      </w:r>
      <w:proofErr w:type="spellEnd"/>
      <w:r>
        <w:t xml:space="preserve"> des ventes</w:t>
      </w:r>
    </w:p>
    <w:p w14:paraId="6A63443E" w14:textId="19DCCBFB" w:rsidR="00406C4A" w:rsidRDefault="00406C4A" w:rsidP="00E2317E">
      <w:pPr>
        <w:pStyle w:val="Sansinterligne"/>
        <w:rPr>
          <w:lang w:eastAsia="fr-FR"/>
        </w:rPr>
      </w:pPr>
      <w:r>
        <w:rPr>
          <w:lang w:eastAsia="fr-FR"/>
        </w:rPr>
        <w:t>Il est établi à partir des prévisions des ventes. Il permet de calculer le CA</w:t>
      </w:r>
      <w:r w:rsidR="00E2317E">
        <w:rPr>
          <w:lang w:eastAsia="fr-FR"/>
        </w:rPr>
        <w:t xml:space="preserve"> </w:t>
      </w:r>
      <w:r>
        <w:rPr>
          <w:lang w:eastAsia="fr-FR"/>
        </w:rPr>
        <w:t xml:space="preserve">HT, la </w:t>
      </w:r>
      <w:r w:rsidR="00E2317E">
        <w:rPr>
          <w:lang w:eastAsia="fr-FR"/>
        </w:rPr>
        <w:t>TVA</w:t>
      </w:r>
      <w:r>
        <w:rPr>
          <w:lang w:eastAsia="fr-FR"/>
        </w:rPr>
        <w:t xml:space="preserve"> collectée et le CAT</w:t>
      </w:r>
      <w:r w:rsidR="00E2317E">
        <w:rPr>
          <w:lang w:eastAsia="fr-FR"/>
        </w:rPr>
        <w:t xml:space="preserve"> </w:t>
      </w:r>
      <w:r>
        <w:rPr>
          <w:lang w:eastAsia="fr-FR"/>
        </w:rPr>
        <w:t>TC.</w:t>
      </w:r>
    </w:p>
    <w:p w14:paraId="7D3DEE17" w14:textId="1B2D00A8" w:rsidR="00406C4A" w:rsidRDefault="00406C4A" w:rsidP="00E2317E">
      <w:pPr>
        <w:rPr>
          <w:lang w:bidi="en-US"/>
        </w:rPr>
      </w:pPr>
      <w:r>
        <w:t>Il est le premier budget à réaliser</w:t>
      </w:r>
      <w:r w:rsidR="00E2317E">
        <w:t>.</w:t>
      </w:r>
    </w:p>
    <w:p w14:paraId="4BE3D3F4" w14:textId="77777777" w:rsidR="00406C4A" w:rsidRDefault="00406C4A" w:rsidP="00594337"/>
    <w:p w14:paraId="769BC296" w14:textId="148997A0" w:rsidR="00E2317E" w:rsidRDefault="00406C4A" w:rsidP="00E2317E">
      <w:pPr>
        <w:pStyle w:val="Titre3"/>
      </w:pPr>
      <w:r>
        <w:rPr>
          <w:lang w:bidi="en-US"/>
        </w:rPr>
        <w:t>2</w:t>
      </w:r>
      <w:r>
        <w:rPr>
          <w:noProof/>
          <w:vertAlign w:val="superscript"/>
        </w:rPr>
        <w:t>e</w:t>
      </w:r>
      <w:r>
        <w:rPr>
          <w:noProof/>
        </w:rPr>
        <w:t xml:space="preserve"> étape : </w:t>
      </w:r>
      <w:r w:rsidR="00E2317E">
        <w:rPr>
          <w:noProof/>
        </w:rPr>
        <w:t xml:space="preserve">le </w:t>
      </w:r>
      <w:r w:rsidR="00E2317E">
        <w:t>b</w:t>
      </w:r>
      <w:r>
        <w:t>udget des encaissements</w:t>
      </w:r>
    </w:p>
    <w:p w14:paraId="7E470B2F" w14:textId="32ECE9F8" w:rsidR="00406C4A" w:rsidRDefault="00406C4A" w:rsidP="00406C4A">
      <w:pPr>
        <w:autoSpaceDE w:val="0"/>
        <w:autoSpaceDN w:val="0"/>
        <w:adjustRightInd w:val="0"/>
        <w:rPr>
          <w:noProof/>
        </w:rPr>
      </w:pPr>
      <w:r>
        <w:t>Il est</w:t>
      </w:r>
      <w:r w:rsidR="00594337">
        <w:t xml:space="preserve"> </w:t>
      </w:r>
      <w:r>
        <w:t>établi à partir :</w:t>
      </w:r>
    </w:p>
    <w:p w14:paraId="0684F839" w14:textId="77777777" w:rsidR="00406C4A" w:rsidRDefault="00406C4A" w:rsidP="00594337">
      <w:pPr>
        <w:pStyle w:val="Paragraphedeliste"/>
        <w:numPr>
          <w:ilvl w:val="0"/>
          <w:numId w:val="11"/>
        </w:numPr>
        <w:rPr>
          <w:lang w:eastAsia="fr-FR"/>
        </w:rPr>
      </w:pPr>
      <w:r>
        <w:rPr>
          <w:lang w:eastAsia="fr-FR"/>
        </w:rPr>
        <w:t>du budget des ventes. Il tient compte des décalages dans le temps entre les ventes et l’encaissement de celles-ci. Il faut prendre en compte les délais de paiement des clients.</w:t>
      </w:r>
    </w:p>
    <w:p w14:paraId="363356C8" w14:textId="77777777" w:rsidR="00406C4A" w:rsidRDefault="00406C4A" w:rsidP="00594337">
      <w:pPr>
        <w:pStyle w:val="Paragraphedeliste"/>
        <w:numPr>
          <w:ilvl w:val="0"/>
          <w:numId w:val="11"/>
        </w:numPr>
        <w:rPr>
          <w:lang w:eastAsia="fr-FR"/>
        </w:rPr>
      </w:pPr>
      <w:r>
        <w:rPr>
          <w:lang w:eastAsia="fr-FR"/>
        </w:rPr>
        <w:t xml:space="preserve">de l’actif du bilan initial. Il prend en compte les créances clients figurant au bilan initial. </w:t>
      </w:r>
    </w:p>
    <w:p w14:paraId="750839E6" w14:textId="77777777" w:rsidR="00406C4A" w:rsidRDefault="00406C4A" w:rsidP="00594337"/>
    <w:p w14:paraId="3F812174" w14:textId="23B02C66" w:rsidR="00E2317E" w:rsidRDefault="00406C4A" w:rsidP="00E2317E">
      <w:pPr>
        <w:pStyle w:val="Titre3"/>
      </w:pPr>
      <w:r>
        <w:rPr>
          <w:noProof/>
        </w:rPr>
        <w:t>3</w:t>
      </w:r>
      <w:r>
        <w:rPr>
          <w:noProof/>
          <w:vertAlign w:val="superscript"/>
        </w:rPr>
        <w:t>e</w:t>
      </w:r>
      <w:r>
        <w:rPr>
          <w:noProof/>
        </w:rPr>
        <w:t xml:space="preserve"> étape :</w:t>
      </w:r>
      <w:r w:rsidR="00E2317E">
        <w:rPr>
          <w:noProof/>
        </w:rPr>
        <w:t xml:space="preserve"> le</w:t>
      </w:r>
      <w:r>
        <w:rPr>
          <w:noProof/>
        </w:rPr>
        <w:t xml:space="preserve"> </w:t>
      </w:r>
      <w:r w:rsidR="00E2317E">
        <w:t>b</w:t>
      </w:r>
      <w:r>
        <w:t>udget des achats</w:t>
      </w:r>
    </w:p>
    <w:p w14:paraId="02514F06" w14:textId="61ACF905" w:rsidR="00406C4A" w:rsidRDefault="00406C4A" w:rsidP="00594337">
      <w:r>
        <w:t>Il est établi à partir</w:t>
      </w:r>
      <w:r w:rsidR="00594337">
        <w:t xml:space="preserve"> </w:t>
      </w:r>
      <w:r>
        <w:t>de la prévision des ventes si l’entreprise a une activité commerciale.</w:t>
      </w:r>
    </w:p>
    <w:p w14:paraId="045159C6" w14:textId="2C32E7BE" w:rsidR="00406C4A" w:rsidRPr="00594337" w:rsidRDefault="00406C4A" w:rsidP="00594337">
      <w:pPr>
        <w:rPr>
          <w:lang w:eastAsia="fr-FR"/>
        </w:rPr>
      </w:pPr>
      <w:r w:rsidRPr="00594337">
        <w:rPr>
          <w:lang w:eastAsia="fr-FR"/>
        </w:rPr>
        <w:t xml:space="preserve">Il permet de calculer les achats HT, la </w:t>
      </w:r>
      <w:r w:rsidR="00594337">
        <w:rPr>
          <w:lang w:eastAsia="fr-FR"/>
        </w:rPr>
        <w:t>TVA</w:t>
      </w:r>
      <w:r w:rsidRPr="00594337">
        <w:rPr>
          <w:lang w:eastAsia="fr-FR"/>
        </w:rPr>
        <w:t xml:space="preserve"> déductible et les achats TTC</w:t>
      </w:r>
    </w:p>
    <w:p w14:paraId="3FEDA413" w14:textId="77777777" w:rsidR="00406C4A" w:rsidRDefault="00406C4A" w:rsidP="00594337">
      <w:pPr>
        <w:rPr>
          <w:lang w:bidi="en-US"/>
        </w:rPr>
      </w:pPr>
    </w:p>
    <w:p w14:paraId="357F6A74" w14:textId="571FFA6F" w:rsidR="00E2317E" w:rsidRDefault="00406C4A" w:rsidP="00E2317E">
      <w:pPr>
        <w:pStyle w:val="Titre3"/>
      </w:pPr>
      <w:r>
        <w:rPr>
          <w:noProof/>
        </w:rPr>
        <w:t>4</w:t>
      </w:r>
      <w:r>
        <w:rPr>
          <w:noProof/>
          <w:vertAlign w:val="superscript"/>
        </w:rPr>
        <w:t>e</w:t>
      </w:r>
      <w:r>
        <w:rPr>
          <w:noProof/>
        </w:rPr>
        <w:t xml:space="preserve"> étape : </w:t>
      </w:r>
      <w:r w:rsidR="00E2317E">
        <w:t>le b</w:t>
      </w:r>
      <w:r>
        <w:t>udget des autres charges</w:t>
      </w:r>
    </w:p>
    <w:p w14:paraId="42BBEAA7" w14:textId="4D08FE8D" w:rsidR="00406C4A" w:rsidRPr="00594337" w:rsidRDefault="00406C4A" w:rsidP="00594337">
      <w:r>
        <w:t>Il est établi à partir</w:t>
      </w:r>
      <w:r w:rsidR="00594337">
        <w:t xml:space="preserve"> d</w:t>
      </w:r>
      <w:r w:rsidRPr="00594337">
        <w:rPr>
          <w:lang w:eastAsia="fr-FR"/>
        </w:rPr>
        <w:t>es prévisions d’achats estimés par les prévisions de vente</w:t>
      </w:r>
      <w:r w:rsidR="00594337">
        <w:rPr>
          <w:lang w:eastAsia="fr-FR"/>
        </w:rPr>
        <w:t>.</w:t>
      </w:r>
    </w:p>
    <w:p w14:paraId="3E25D0AD" w14:textId="6D1A54EA" w:rsidR="00406C4A" w:rsidRPr="00594337" w:rsidRDefault="00406C4A" w:rsidP="00594337">
      <w:pPr>
        <w:rPr>
          <w:lang w:eastAsia="fr-FR"/>
        </w:rPr>
      </w:pPr>
      <w:r w:rsidRPr="00594337">
        <w:rPr>
          <w:lang w:eastAsia="fr-FR"/>
        </w:rPr>
        <w:t xml:space="preserve">Il permet de calculer les autres charges HT, la </w:t>
      </w:r>
      <w:r w:rsidR="00594337">
        <w:rPr>
          <w:lang w:eastAsia="fr-FR"/>
        </w:rPr>
        <w:t>TVA</w:t>
      </w:r>
      <w:r w:rsidRPr="00594337">
        <w:rPr>
          <w:lang w:eastAsia="fr-FR"/>
        </w:rPr>
        <w:t xml:space="preserve"> déductible et les autres charges TTC</w:t>
      </w:r>
      <w:r w:rsidR="00594337">
        <w:rPr>
          <w:lang w:eastAsia="fr-FR"/>
        </w:rPr>
        <w:t>.</w:t>
      </w:r>
    </w:p>
    <w:p w14:paraId="4BC345AD" w14:textId="77777777" w:rsidR="00406C4A" w:rsidRDefault="00406C4A" w:rsidP="00406C4A">
      <w:pPr>
        <w:autoSpaceDE w:val="0"/>
        <w:autoSpaceDN w:val="0"/>
        <w:adjustRightInd w:val="0"/>
        <w:rPr>
          <w:lang w:bidi="en-US"/>
        </w:rPr>
      </w:pPr>
    </w:p>
    <w:p w14:paraId="1D54ECF8" w14:textId="1345816C" w:rsidR="00406C4A" w:rsidRDefault="00406C4A" w:rsidP="00E2317E">
      <w:pPr>
        <w:pStyle w:val="Titre3"/>
        <w:rPr>
          <w:lang w:bidi="en-US"/>
        </w:rPr>
      </w:pPr>
      <w:r>
        <w:rPr>
          <w:lang w:bidi="en-US"/>
        </w:rPr>
        <w:t>5</w:t>
      </w:r>
      <w:r>
        <w:rPr>
          <w:noProof/>
          <w:vertAlign w:val="superscript"/>
        </w:rPr>
        <w:t>e</w:t>
      </w:r>
      <w:r>
        <w:rPr>
          <w:noProof/>
        </w:rPr>
        <w:t xml:space="preserve"> étape :</w:t>
      </w:r>
      <w:r>
        <w:t xml:space="preserve"> </w:t>
      </w:r>
      <w:r w:rsidR="00E2317E">
        <w:t>le b</w:t>
      </w:r>
      <w:r>
        <w:t>udget des investissements</w:t>
      </w:r>
    </w:p>
    <w:p w14:paraId="5E13A7E1" w14:textId="7441D010" w:rsidR="00406C4A" w:rsidRDefault="00406C4A" w:rsidP="00594337">
      <w:pPr>
        <w:rPr>
          <w:lang w:eastAsia="fr-FR"/>
        </w:rPr>
      </w:pPr>
      <w:r>
        <w:rPr>
          <w:lang w:eastAsia="fr-FR"/>
        </w:rPr>
        <w:t>Il fait appara</w:t>
      </w:r>
      <w:r w:rsidR="00594337">
        <w:rPr>
          <w:lang w:eastAsia="fr-FR"/>
        </w:rPr>
        <w:t>î</w:t>
      </w:r>
      <w:r>
        <w:rPr>
          <w:lang w:eastAsia="fr-FR"/>
        </w:rPr>
        <w:t xml:space="preserve">tre les acquisitions d’immobilisation HT, la TVA déductible sur immobilisation et les acquisitions d’immobilisation TTC. </w:t>
      </w:r>
    </w:p>
    <w:p w14:paraId="331C4F03" w14:textId="63A9EDF9" w:rsidR="00406C4A" w:rsidRDefault="00406C4A" w:rsidP="00594337">
      <w:pPr>
        <w:rPr>
          <w:lang w:eastAsia="fr-FR"/>
        </w:rPr>
      </w:pPr>
      <w:r>
        <w:rPr>
          <w:lang w:eastAsia="fr-FR"/>
        </w:rPr>
        <w:lastRenderedPageBreak/>
        <w:t>Les acquisitions d’immobilisations peuvent nécessiter de recourir à un emprunt. Il est alors nécessaire d’établir un budget de financement qui fait appara</w:t>
      </w:r>
      <w:r w:rsidR="00594337">
        <w:rPr>
          <w:lang w:eastAsia="fr-FR"/>
        </w:rPr>
        <w:t>î</w:t>
      </w:r>
      <w:r>
        <w:rPr>
          <w:lang w:eastAsia="fr-FR"/>
        </w:rPr>
        <w:t>tre les intérêts à payer et le remboursement du capital emprunté.</w:t>
      </w:r>
    </w:p>
    <w:p w14:paraId="600FEB9F" w14:textId="77777777" w:rsidR="00406C4A" w:rsidRDefault="00406C4A" w:rsidP="00406C4A">
      <w:pPr>
        <w:pStyle w:val="Paragraphedeliste"/>
        <w:autoSpaceDE w:val="0"/>
        <w:autoSpaceDN w:val="0"/>
        <w:adjustRightInd w:val="0"/>
        <w:ind w:left="786"/>
        <w:rPr>
          <w:rFonts w:eastAsia="Calibri"/>
          <w:lang w:bidi="en-US"/>
        </w:rPr>
      </w:pPr>
    </w:p>
    <w:p w14:paraId="18001198" w14:textId="69307F1F" w:rsidR="00E2317E" w:rsidRDefault="00406C4A" w:rsidP="00E2317E">
      <w:pPr>
        <w:pStyle w:val="Titre3"/>
      </w:pPr>
      <w:r>
        <w:t>6</w:t>
      </w:r>
      <w:r w:rsidR="00E2317E">
        <w:rPr>
          <w:noProof/>
          <w:vertAlign w:val="superscript"/>
        </w:rPr>
        <w:t>e</w:t>
      </w:r>
      <w:r>
        <w:rPr>
          <w:noProof/>
        </w:rPr>
        <w:t xml:space="preserve"> étape :</w:t>
      </w:r>
      <w:r>
        <w:t xml:space="preserve"> </w:t>
      </w:r>
      <w:r w:rsidR="00E2317E">
        <w:t>le b</w:t>
      </w:r>
      <w:r>
        <w:t>udget de TVA</w:t>
      </w:r>
    </w:p>
    <w:p w14:paraId="5DCF222E" w14:textId="7423AF11" w:rsidR="00406C4A" w:rsidRDefault="00406C4A" w:rsidP="00594337">
      <w:pPr>
        <w:rPr>
          <w:b/>
        </w:rPr>
      </w:pPr>
      <w:r>
        <w:t>Il est établi à partir </w:t>
      </w:r>
      <w:r>
        <w:rPr>
          <w:b/>
        </w:rPr>
        <w:t>:</w:t>
      </w:r>
    </w:p>
    <w:p w14:paraId="6E5F1C5E" w14:textId="03DD4736" w:rsidR="00406C4A" w:rsidRDefault="00594337" w:rsidP="00594337">
      <w:pPr>
        <w:pStyle w:val="Paragraphedeliste"/>
        <w:numPr>
          <w:ilvl w:val="0"/>
          <w:numId w:val="12"/>
        </w:numPr>
        <w:rPr>
          <w:lang w:eastAsia="fr-FR"/>
        </w:rPr>
      </w:pPr>
      <w:r>
        <w:rPr>
          <w:lang w:eastAsia="fr-FR"/>
        </w:rPr>
        <w:t xml:space="preserve">de la </w:t>
      </w:r>
      <w:r w:rsidR="00406C4A">
        <w:rPr>
          <w:lang w:eastAsia="fr-FR"/>
        </w:rPr>
        <w:t>TVA collectée du budget des ventes</w:t>
      </w:r>
      <w:r>
        <w:rPr>
          <w:lang w:eastAsia="fr-FR"/>
        </w:rPr>
        <w:t> ;</w:t>
      </w:r>
    </w:p>
    <w:p w14:paraId="51D0444C" w14:textId="11AD2BA6" w:rsidR="00406C4A" w:rsidRDefault="00594337" w:rsidP="00594337">
      <w:pPr>
        <w:pStyle w:val="Paragraphedeliste"/>
        <w:numPr>
          <w:ilvl w:val="0"/>
          <w:numId w:val="12"/>
        </w:numPr>
        <w:rPr>
          <w:lang w:eastAsia="fr-FR"/>
        </w:rPr>
      </w:pPr>
      <w:r>
        <w:rPr>
          <w:lang w:eastAsia="fr-FR"/>
        </w:rPr>
        <w:t xml:space="preserve">de la </w:t>
      </w:r>
      <w:r w:rsidR="00406C4A">
        <w:rPr>
          <w:lang w:eastAsia="fr-FR"/>
        </w:rPr>
        <w:t>TVA déductible des budgets des achats, des autres achats et des investissements</w:t>
      </w:r>
      <w:r>
        <w:rPr>
          <w:lang w:eastAsia="fr-FR"/>
        </w:rPr>
        <w:t>.</w:t>
      </w:r>
    </w:p>
    <w:p w14:paraId="3DD90514" w14:textId="10BF2701" w:rsidR="00406C4A" w:rsidRDefault="00406C4A" w:rsidP="00594337">
      <w:pPr>
        <w:rPr>
          <w:lang w:eastAsia="fr-FR"/>
        </w:rPr>
      </w:pPr>
      <w:r>
        <w:rPr>
          <w:lang w:eastAsia="fr-FR"/>
        </w:rPr>
        <w:t>Il détermine la TVA à décaisser</w:t>
      </w:r>
      <w:r w:rsidR="00594337">
        <w:rPr>
          <w:lang w:eastAsia="fr-FR"/>
        </w:rPr>
        <w:t>.</w:t>
      </w:r>
    </w:p>
    <w:p w14:paraId="4F496685" w14:textId="77777777" w:rsidR="00406C4A" w:rsidRDefault="00406C4A" w:rsidP="00406C4A">
      <w:pPr>
        <w:autoSpaceDE w:val="0"/>
        <w:autoSpaceDN w:val="0"/>
        <w:adjustRightInd w:val="0"/>
      </w:pPr>
    </w:p>
    <w:p w14:paraId="50DD9106" w14:textId="30F5A36B" w:rsidR="00E2317E" w:rsidRDefault="00406C4A" w:rsidP="00E2317E">
      <w:pPr>
        <w:pStyle w:val="Titre3"/>
      </w:pPr>
      <w:r>
        <w:t>7</w:t>
      </w:r>
      <w:r>
        <w:rPr>
          <w:noProof/>
          <w:vertAlign w:val="superscript"/>
        </w:rPr>
        <w:t>e</w:t>
      </w:r>
      <w:r>
        <w:rPr>
          <w:noProof/>
        </w:rPr>
        <w:t xml:space="preserve"> étape :</w:t>
      </w:r>
      <w:r>
        <w:t xml:space="preserve"> </w:t>
      </w:r>
      <w:r w:rsidR="00E2317E">
        <w:t>le b</w:t>
      </w:r>
      <w:r>
        <w:t>udget des décaissements</w:t>
      </w:r>
    </w:p>
    <w:p w14:paraId="4DEEDFF8" w14:textId="55AFB5C8" w:rsidR="00406C4A" w:rsidRDefault="00406C4A" w:rsidP="00406C4A">
      <w:pPr>
        <w:autoSpaceDE w:val="0"/>
        <w:autoSpaceDN w:val="0"/>
        <w:adjustRightInd w:val="0"/>
      </w:pPr>
      <w:r>
        <w:t>Il est établi à partir :</w:t>
      </w:r>
    </w:p>
    <w:p w14:paraId="60131D43" w14:textId="584D8685" w:rsidR="00406C4A" w:rsidRDefault="00594337" w:rsidP="00594337">
      <w:pPr>
        <w:pStyle w:val="Paragraphedeliste"/>
        <w:numPr>
          <w:ilvl w:val="0"/>
          <w:numId w:val="14"/>
        </w:numPr>
        <w:rPr>
          <w:lang w:eastAsia="fr-FR"/>
        </w:rPr>
      </w:pPr>
      <w:r>
        <w:rPr>
          <w:lang w:eastAsia="fr-FR"/>
        </w:rPr>
        <w:t>d</w:t>
      </w:r>
      <w:r w:rsidR="00406C4A">
        <w:rPr>
          <w:lang w:eastAsia="fr-FR"/>
        </w:rPr>
        <w:t>es budgets des achats, des autres charges et des investissements. Il tient compte du décalage de temps entre l’achat de la charge et son décaissement</w:t>
      </w:r>
      <w:r>
        <w:rPr>
          <w:lang w:eastAsia="fr-FR"/>
        </w:rPr>
        <w:t>.</w:t>
      </w:r>
    </w:p>
    <w:p w14:paraId="585669F5" w14:textId="4434DAF2" w:rsidR="00406C4A" w:rsidRDefault="00594337" w:rsidP="00594337">
      <w:pPr>
        <w:pStyle w:val="Paragraphedeliste"/>
        <w:numPr>
          <w:ilvl w:val="0"/>
          <w:numId w:val="14"/>
        </w:numPr>
        <w:rPr>
          <w:lang w:eastAsia="fr-FR"/>
        </w:rPr>
      </w:pPr>
      <w:r>
        <w:rPr>
          <w:lang w:eastAsia="fr-FR"/>
        </w:rPr>
        <w:t>d</w:t>
      </w:r>
      <w:r w:rsidR="00406C4A">
        <w:rPr>
          <w:lang w:eastAsia="fr-FR"/>
        </w:rPr>
        <w:t>u budget de TVA</w:t>
      </w:r>
      <w:r>
        <w:rPr>
          <w:lang w:eastAsia="fr-FR"/>
        </w:rPr>
        <w:t> ;</w:t>
      </w:r>
    </w:p>
    <w:p w14:paraId="062BB4F3" w14:textId="199780D1" w:rsidR="00406C4A" w:rsidRDefault="00594337" w:rsidP="00594337">
      <w:pPr>
        <w:pStyle w:val="Paragraphedeliste"/>
        <w:numPr>
          <w:ilvl w:val="0"/>
          <w:numId w:val="14"/>
        </w:numPr>
        <w:rPr>
          <w:lang w:eastAsia="fr-FR"/>
        </w:rPr>
      </w:pPr>
      <w:r>
        <w:rPr>
          <w:lang w:eastAsia="fr-FR"/>
        </w:rPr>
        <w:t>des d</w:t>
      </w:r>
      <w:r w:rsidR="00406C4A">
        <w:rPr>
          <w:lang w:eastAsia="fr-FR"/>
        </w:rPr>
        <w:t>ettes figurant au passif du bilan initial</w:t>
      </w:r>
      <w:r>
        <w:rPr>
          <w:lang w:eastAsia="fr-FR"/>
        </w:rPr>
        <w:t>.</w:t>
      </w:r>
    </w:p>
    <w:p w14:paraId="55C972B1" w14:textId="77777777" w:rsidR="00406C4A" w:rsidRDefault="00406C4A" w:rsidP="00406C4A">
      <w:pPr>
        <w:pStyle w:val="Paragraphedeliste"/>
        <w:autoSpaceDE w:val="0"/>
        <w:autoSpaceDN w:val="0"/>
        <w:adjustRightInd w:val="0"/>
        <w:ind w:left="786"/>
        <w:rPr>
          <w:rFonts w:eastAsia="Calibri"/>
          <w:lang w:bidi="en-US"/>
        </w:rPr>
      </w:pPr>
    </w:p>
    <w:p w14:paraId="2C41D4C8" w14:textId="47B36BD9" w:rsidR="00406C4A" w:rsidRDefault="00406C4A" w:rsidP="00E2317E">
      <w:pPr>
        <w:pStyle w:val="Titre3"/>
      </w:pPr>
      <w:r>
        <w:t>8</w:t>
      </w:r>
      <w:r w:rsidRPr="00E2317E">
        <w:rPr>
          <w:noProof/>
          <w:vertAlign w:val="superscript"/>
        </w:rPr>
        <w:t>e</w:t>
      </w:r>
      <w:r>
        <w:rPr>
          <w:noProof/>
        </w:rPr>
        <w:t xml:space="preserve"> étape :</w:t>
      </w:r>
      <w:r>
        <w:t xml:space="preserve"> </w:t>
      </w:r>
      <w:r w:rsidR="00E2317E">
        <w:t>le b</w:t>
      </w:r>
      <w:r>
        <w:t xml:space="preserve">udget de trésorerie </w:t>
      </w:r>
    </w:p>
    <w:p w14:paraId="574265FF" w14:textId="77777777" w:rsidR="00E2317E" w:rsidRDefault="00E2317E" w:rsidP="00594337">
      <w:r>
        <w:t>Il est établi à partir :</w:t>
      </w:r>
    </w:p>
    <w:p w14:paraId="294FDDBA" w14:textId="5B4EB87A" w:rsidR="00E2317E" w:rsidRDefault="00E2317E" w:rsidP="00594337">
      <w:pPr>
        <w:pStyle w:val="Paragraphedeliste"/>
        <w:numPr>
          <w:ilvl w:val="0"/>
          <w:numId w:val="15"/>
        </w:numPr>
      </w:pPr>
      <w:r>
        <w:t>Solde de la trésorerie de début de période : disponibilités figurant au bilan initial</w:t>
      </w:r>
      <w:r w:rsidR="00594337">
        <w:t> ;</w:t>
      </w:r>
    </w:p>
    <w:p w14:paraId="77F9E63C" w14:textId="2D50CED5" w:rsidR="00E2317E" w:rsidRDefault="00E2317E" w:rsidP="00594337">
      <w:pPr>
        <w:pStyle w:val="Paragraphedeliste"/>
        <w:numPr>
          <w:ilvl w:val="0"/>
          <w:numId w:val="15"/>
        </w:numPr>
      </w:pPr>
      <w:r>
        <w:t>+ les encaissements figurant dans le budget des encaissements</w:t>
      </w:r>
      <w:r w:rsidR="00594337">
        <w:t> ;</w:t>
      </w:r>
    </w:p>
    <w:p w14:paraId="49027871" w14:textId="101B8C63" w:rsidR="00E2317E" w:rsidRDefault="00594337" w:rsidP="00594337">
      <w:pPr>
        <w:pStyle w:val="Paragraphedeliste"/>
        <w:numPr>
          <w:ilvl w:val="0"/>
          <w:numId w:val="15"/>
        </w:numPr>
      </w:pPr>
      <w:r>
        <w:t xml:space="preserve">– </w:t>
      </w:r>
      <w:r w:rsidR="00E2317E">
        <w:t>les décaissements figurant dans le budget des décaissements</w:t>
      </w:r>
      <w:r>
        <w:t>.</w:t>
      </w:r>
    </w:p>
    <w:p w14:paraId="7ED36F92" w14:textId="77777777" w:rsidR="00E2317E" w:rsidRDefault="00E2317E" w:rsidP="00594337">
      <w:r>
        <w:t>On obtient le solde de la trésorerie de fin de période qui devient le solde de la trésorerie de début de période suivante.</w:t>
      </w:r>
    </w:p>
    <w:p w14:paraId="57A3939D" w14:textId="77777777" w:rsidR="00406C4A" w:rsidRDefault="00406C4A" w:rsidP="00406C4A">
      <w:pPr>
        <w:autoSpaceDE w:val="0"/>
        <w:autoSpaceDN w:val="0"/>
        <w:adjustRightInd w:val="0"/>
        <w:rPr>
          <w:b/>
        </w:rPr>
      </w:pPr>
    </w:p>
    <w:tbl>
      <w:tblPr>
        <w:tblW w:w="5887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4"/>
        <w:gridCol w:w="1559"/>
        <w:gridCol w:w="1391"/>
        <w:gridCol w:w="1093"/>
      </w:tblGrid>
      <w:tr w:rsidR="00406C4A" w14:paraId="4809A0CF" w14:textId="77777777" w:rsidTr="00406C4A">
        <w:trPr>
          <w:trHeight w:val="28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62CB2C" w14:textId="77777777" w:rsidR="00406C4A" w:rsidRDefault="00406C4A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19285C" w14:textId="77777777" w:rsidR="00406C4A" w:rsidRDefault="00406C4A">
            <w:pPr>
              <w:spacing w:line="256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Janvier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2E0EF0" w14:textId="77777777" w:rsidR="00406C4A" w:rsidRDefault="00406C4A">
            <w:pPr>
              <w:spacing w:line="256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Février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FFEBE5" w14:textId="77777777" w:rsidR="00406C4A" w:rsidRDefault="00406C4A">
            <w:pPr>
              <w:spacing w:line="256" w:lineRule="auto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Mars</w:t>
            </w:r>
          </w:p>
        </w:tc>
      </w:tr>
      <w:tr w:rsidR="00406C4A" w14:paraId="690EE956" w14:textId="77777777" w:rsidTr="00406C4A">
        <w:trPr>
          <w:trHeight w:val="247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6AFF57" w14:textId="77777777" w:rsidR="00406C4A" w:rsidRDefault="00406C4A">
            <w:pPr>
              <w:spacing w:line="25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Solde initial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D273CB" w14:textId="77777777" w:rsidR="00406C4A" w:rsidRDefault="00406C4A">
            <w:pPr>
              <w:spacing w:line="25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120,00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B0D54A" w14:textId="77777777" w:rsidR="00406C4A" w:rsidRDefault="00406C4A">
            <w:pPr>
              <w:spacing w:line="25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highlight w:val="magenta"/>
              </w:rPr>
              <w:t>-                         1,00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F3479C" w14:textId="77777777" w:rsidR="00406C4A" w:rsidRDefault="00406C4A">
            <w:pPr>
              <w:spacing w:line="25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highlight w:val="green"/>
              </w:rPr>
              <w:t>195,00</w:t>
            </w:r>
          </w:p>
        </w:tc>
      </w:tr>
      <w:tr w:rsidR="00406C4A" w14:paraId="426E685A" w14:textId="77777777" w:rsidTr="00406C4A">
        <w:trPr>
          <w:trHeight w:val="28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1A74E3" w14:textId="77777777" w:rsidR="00406C4A" w:rsidRDefault="00406C4A">
            <w:pPr>
              <w:spacing w:line="25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Total des encaissements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0310D8" w14:textId="10BEEA0F" w:rsidR="00406C4A" w:rsidRDefault="00406C4A">
            <w:pPr>
              <w:spacing w:line="25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1B65EDF" wp14:editId="7A6BB2FF">
                      <wp:simplePos x="0" y="0"/>
                      <wp:positionH relativeFrom="column">
                        <wp:posOffset>579755</wp:posOffset>
                      </wp:positionH>
                      <wp:positionV relativeFrom="paragraph">
                        <wp:posOffset>-11430</wp:posOffset>
                      </wp:positionV>
                      <wp:extent cx="478155" cy="500380"/>
                      <wp:effectExtent l="0" t="38100" r="55245" b="33020"/>
                      <wp:wrapNone/>
                      <wp:docPr id="24" name="Connecteur droit avec flèch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78155" cy="5003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FA3FC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24" o:spid="_x0000_s1026" type="#_x0000_t32" style="position:absolute;margin-left:45.65pt;margin-top:-.9pt;width:37.65pt;height:39.4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137,00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A9E2FE" w14:textId="29B98E95" w:rsidR="00406C4A" w:rsidRDefault="00406C4A">
            <w:pPr>
              <w:spacing w:line="25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C6268C1" wp14:editId="4866C5A8">
                      <wp:simplePos x="0" y="0"/>
                      <wp:positionH relativeFrom="column">
                        <wp:posOffset>598805</wp:posOffset>
                      </wp:positionH>
                      <wp:positionV relativeFrom="paragraph">
                        <wp:posOffset>635</wp:posOffset>
                      </wp:positionV>
                      <wp:extent cx="438150" cy="495300"/>
                      <wp:effectExtent l="0" t="38100" r="57150" b="19050"/>
                      <wp:wrapNone/>
                      <wp:docPr id="23" name="Connecteur droit avec flèch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38150" cy="495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F07EE3" id="Connecteur droit avec flèche 23" o:spid="_x0000_s1026" type="#_x0000_t32" style="position:absolute;margin-left:47.15pt;margin-top:.05pt;width:34.5pt;height:39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368,00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7610C6" w14:textId="77777777" w:rsidR="00406C4A" w:rsidRDefault="00406C4A">
            <w:pPr>
              <w:spacing w:line="25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295,00</w:t>
            </w:r>
          </w:p>
        </w:tc>
      </w:tr>
      <w:tr w:rsidR="00406C4A" w14:paraId="5F15B08C" w14:textId="77777777" w:rsidTr="00406C4A">
        <w:trPr>
          <w:trHeight w:val="28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A6183E" w14:textId="77777777" w:rsidR="00406C4A" w:rsidRDefault="00406C4A">
            <w:pPr>
              <w:spacing w:line="25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Total des décaissements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FCCA4F" w14:textId="77777777" w:rsidR="00406C4A" w:rsidRDefault="00406C4A">
            <w:pPr>
              <w:spacing w:line="25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258,00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E9EC9F" w14:textId="77777777" w:rsidR="00406C4A" w:rsidRDefault="00406C4A">
            <w:pPr>
              <w:spacing w:line="25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172,00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278B3E" w14:textId="77777777" w:rsidR="00406C4A" w:rsidRDefault="00406C4A">
            <w:pPr>
              <w:spacing w:line="25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340,00</w:t>
            </w:r>
          </w:p>
        </w:tc>
      </w:tr>
      <w:tr w:rsidR="00406C4A" w14:paraId="34E07DA3" w14:textId="77777777" w:rsidTr="00406C4A">
        <w:trPr>
          <w:trHeight w:val="285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22E1B2" w14:textId="77777777" w:rsidR="00406C4A" w:rsidRDefault="00406C4A">
            <w:pPr>
              <w:spacing w:line="256" w:lineRule="auto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Solde final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3946A6" w14:textId="77777777" w:rsidR="00406C4A" w:rsidRDefault="00406C4A">
            <w:pPr>
              <w:spacing w:line="25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highlight w:val="magenta"/>
              </w:rPr>
              <w:t xml:space="preserve">-                             1,00 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58381A" w14:textId="77777777" w:rsidR="00406C4A" w:rsidRDefault="00406C4A">
            <w:pPr>
              <w:spacing w:line="25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  <w:highlight w:val="green"/>
              </w:rPr>
              <w:t>195,00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6D2991" w14:textId="77777777" w:rsidR="00406C4A" w:rsidRDefault="00406C4A">
            <w:pPr>
              <w:spacing w:line="256" w:lineRule="auto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150,00</w:t>
            </w:r>
          </w:p>
        </w:tc>
      </w:tr>
    </w:tbl>
    <w:p w14:paraId="2340A784" w14:textId="77777777" w:rsidR="00406C4A" w:rsidRDefault="00406C4A" w:rsidP="00406C4A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fr-FR"/>
        </w:rPr>
      </w:pPr>
    </w:p>
    <w:p w14:paraId="5419DB10" w14:textId="21D6C6E2" w:rsidR="00406C4A" w:rsidRDefault="00406C4A" w:rsidP="00725B6F">
      <w:pPr>
        <w:pStyle w:val="Titre2"/>
      </w:pPr>
      <w:r>
        <w:lastRenderedPageBreak/>
        <w:t>L’optimisation de la trésorerie</w:t>
      </w:r>
    </w:p>
    <w:p w14:paraId="7EF5E6ED" w14:textId="77777777" w:rsidR="00406C4A" w:rsidRDefault="00406C4A" w:rsidP="00406C4A">
      <w:pPr>
        <w:autoSpaceDE w:val="0"/>
        <w:autoSpaceDN w:val="0"/>
        <w:adjustRightInd w:val="0"/>
        <w:rPr>
          <w:noProof/>
          <w:sz w:val="24"/>
          <w:szCs w:val="24"/>
        </w:rPr>
      </w:pPr>
      <w:r>
        <w:rPr>
          <w:noProof/>
        </w:rPr>
        <w:t xml:space="preserve">L’entreprise a pour objectif d’équilibrer sa trésorerie, </w:t>
      </w:r>
      <w:bookmarkStart w:id="0" w:name="_GoBack"/>
      <w:bookmarkEnd w:id="0"/>
      <w:r>
        <w:rPr>
          <w:noProof/>
        </w:rPr>
        <w:t>c'est-à-dire qu’elle souhaite que les encaissements couvrent les décaissements.</w:t>
      </w:r>
    </w:p>
    <w:p w14:paraId="3AA90470" w14:textId="1B3AE5EA" w:rsidR="00406C4A" w:rsidRDefault="00406C4A" w:rsidP="00406C4A">
      <w:pPr>
        <w:autoSpaceDE w:val="0"/>
        <w:autoSpaceDN w:val="0"/>
        <w:adjustRightInd w:val="0"/>
        <w:rPr>
          <w:noProof/>
        </w:rPr>
      </w:pPr>
      <w:r>
        <w:rPr>
          <w:noProof/>
        </w:rPr>
        <w:t>Si les décaissement</w:t>
      </w:r>
      <w:r w:rsidR="00594337">
        <w:rPr>
          <w:noProof/>
        </w:rPr>
        <w:t>s</w:t>
      </w:r>
      <w:r>
        <w:rPr>
          <w:noProof/>
        </w:rPr>
        <w:t xml:space="preserve"> sont supérieurs aux encaissements, l’entreprise court un risque de découvert bancaire, qu’elle peut prévenir avec différents moyens</w:t>
      </w:r>
      <w:r w:rsidR="00594337">
        <w:rPr>
          <w:noProof/>
        </w:rPr>
        <w:t>.</w:t>
      </w:r>
    </w:p>
    <w:p w14:paraId="011C1DB9" w14:textId="77777777" w:rsidR="00406C4A" w:rsidRDefault="00406C4A" w:rsidP="00406C4A">
      <w:pPr>
        <w:autoSpaceDE w:val="0"/>
        <w:autoSpaceDN w:val="0"/>
        <w:adjustRightInd w:val="0"/>
        <w:rPr>
          <w:noProof/>
        </w:rPr>
      </w:pPr>
    </w:p>
    <w:p w14:paraId="2EACFE4D" w14:textId="05082B29" w:rsidR="00406C4A" w:rsidRDefault="00406C4A" w:rsidP="00725B6F">
      <w:pPr>
        <w:pStyle w:val="Titre3"/>
      </w:pPr>
      <w:r>
        <w:t>Agir sur le BFR</w:t>
      </w:r>
    </w:p>
    <w:p w14:paraId="3DA49D60" w14:textId="0FBD3DDA" w:rsidR="00406C4A" w:rsidRPr="00124822" w:rsidRDefault="00406C4A" w:rsidP="00124822">
      <w:pPr>
        <w:pStyle w:val="Paragraphedeliste"/>
        <w:numPr>
          <w:ilvl w:val="0"/>
          <w:numId w:val="18"/>
        </w:numPr>
        <w:shd w:val="clear" w:color="auto" w:fill="FFFFFF"/>
        <w:rPr>
          <w:color w:val="000000"/>
        </w:rPr>
      </w:pPr>
      <w:r w:rsidRPr="00124822">
        <w:rPr>
          <w:color w:val="000000"/>
        </w:rPr>
        <w:t>Réduire les délais de paiement clients ;</w:t>
      </w:r>
    </w:p>
    <w:p w14:paraId="6F364334" w14:textId="6B62AE0C" w:rsidR="00406C4A" w:rsidRPr="00124822" w:rsidRDefault="00406C4A" w:rsidP="00124822">
      <w:pPr>
        <w:pStyle w:val="Paragraphedeliste"/>
        <w:numPr>
          <w:ilvl w:val="0"/>
          <w:numId w:val="18"/>
        </w:numPr>
        <w:shd w:val="clear" w:color="auto" w:fill="FFFFFF"/>
        <w:rPr>
          <w:color w:val="000000"/>
        </w:rPr>
      </w:pPr>
      <w:r w:rsidRPr="00124822">
        <w:rPr>
          <w:color w:val="000000"/>
        </w:rPr>
        <w:t>Favoriser les paiements comptants ;</w:t>
      </w:r>
    </w:p>
    <w:p w14:paraId="0FBD0373" w14:textId="5AB39DAD" w:rsidR="00406C4A" w:rsidRPr="00124822" w:rsidRDefault="00406C4A" w:rsidP="00124822">
      <w:pPr>
        <w:pStyle w:val="Paragraphedeliste"/>
        <w:numPr>
          <w:ilvl w:val="0"/>
          <w:numId w:val="18"/>
        </w:numPr>
        <w:shd w:val="clear" w:color="auto" w:fill="FFFFFF"/>
        <w:rPr>
          <w:color w:val="000000"/>
        </w:rPr>
      </w:pPr>
      <w:r w:rsidRPr="00124822">
        <w:rPr>
          <w:color w:val="000000"/>
        </w:rPr>
        <w:t>Limiter les retards de paiement en mettant en place un processus de recouvrement de créances (suivi, contrôle, relance) ;</w:t>
      </w:r>
    </w:p>
    <w:p w14:paraId="613A196F" w14:textId="3B5A7A3E" w:rsidR="00406C4A" w:rsidRPr="00124822" w:rsidRDefault="00406C4A" w:rsidP="00124822">
      <w:pPr>
        <w:pStyle w:val="Paragraphedeliste"/>
        <w:numPr>
          <w:ilvl w:val="0"/>
          <w:numId w:val="18"/>
        </w:numPr>
        <w:shd w:val="clear" w:color="auto" w:fill="FFFFFF"/>
        <w:rPr>
          <w:color w:val="000000"/>
        </w:rPr>
      </w:pPr>
      <w:r w:rsidRPr="00124822">
        <w:rPr>
          <w:color w:val="000000"/>
        </w:rPr>
        <w:t>Allonger la durée de crédit fournisseurs (négociation) ;</w:t>
      </w:r>
    </w:p>
    <w:p w14:paraId="0CEE9C2E" w14:textId="08B6495D" w:rsidR="00406C4A" w:rsidRPr="00124822" w:rsidRDefault="00406C4A" w:rsidP="00124822">
      <w:pPr>
        <w:pStyle w:val="Paragraphedeliste"/>
        <w:numPr>
          <w:ilvl w:val="0"/>
          <w:numId w:val="18"/>
        </w:numPr>
        <w:shd w:val="clear" w:color="auto" w:fill="FFFFFF"/>
        <w:rPr>
          <w:color w:val="000000"/>
        </w:rPr>
      </w:pPr>
      <w:r w:rsidRPr="00124822">
        <w:rPr>
          <w:color w:val="000000"/>
        </w:rPr>
        <w:t>Raccourcir la durée moyenne des rotations de stocks.</w:t>
      </w:r>
    </w:p>
    <w:p w14:paraId="38EA56EB" w14:textId="77777777" w:rsidR="00406C4A" w:rsidRDefault="00406C4A" w:rsidP="00406C4A">
      <w:pPr>
        <w:rPr>
          <w:b/>
        </w:rPr>
      </w:pPr>
    </w:p>
    <w:p w14:paraId="111556C8" w14:textId="25FADF79" w:rsidR="00406C4A" w:rsidRDefault="00406C4A" w:rsidP="00594337">
      <w:pPr>
        <w:pStyle w:val="Titre3"/>
      </w:pPr>
      <w:r>
        <w:t>Agir sur le FRNG</w:t>
      </w:r>
    </w:p>
    <w:p w14:paraId="7AAEEF39" w14:textId="2296C0C8" w:rsidR="00406C4A" w:rsidRPr="00124822" w:rsidRDefault="00406C4A" w:rsidP="00124822">
      <w:pPr>
        <w:pStyle w:val="Paragraphedeliste"/>
        <w:numPr>
          <w:ilvl w:val="0"/>
          <w:numId w:val="21"/>
        </w:numPr>
        <w:shd w:val="clear" w:color="auto" w:fill="FFFFFF"/>
        <w:rPr>
          <w:color w:val="000000"/>
        </w:rPr>
      </w:pPr>
      <w:r w:rsidRPr="00124822">
        <w:rPr>
          <w:color w:val="000000"/>
        </w:rPr>
        <w:t>Céder des immobilisations non essentielles à la production ;</w:t>
      </w:r>
    </w:p>
    <w:p w14:paraId="241C633B" w14:textId="0530A1FA" w:rsidR="00406C4A" w:rsidRPr="00124822" w:rsidRDefault="00406C4A" w:rsidP="00124822">
      <w:pPr>
        <w:pStyle w:val="Paragraphedeliste"/>
        <w:numPr>
          <w:ilvl w:val="0"/>
          <w:numId w:val="21"/>
        </w:numPr>
        <w:shd w:val="clear" w:color="auto" w:fill="FFFFFF"/>
        <w:rPr>
          <w:color w:val="000000"/>
        </w:rPr>
      </w:pPr>
      <w:r w:rsidRPr="00124822">
        <w:rPr>
          <w:color w:val="000000"/>
        </w:rPr>
        <w:t>Favoriser l’emprunt en cas de nouvel investissement ;</w:t>
      </w:r>
    </w:p>
    <w:p w14:paraId="70179C48" w14:textId="2B65BB17" w:rsidR="00406C4A" w:rsidRPr="00124822" w:rsidRDefault="00406C4A" w:rsidP="00124822">
      <w:pPr>
        <w:pStyle w:val="Paragraphedeliste"/>
        <w:numPr>
          <w:ilvl w:val="0"/>
          <w:numId w:val="21"/>
        </w:numPr>
        <w:shd w:val="clear" w:color="auto" w:fill="FFFFFF"/>
        <w:rPr>
          <w:color w:val="000000"/>
        </w:rPr>
      </w:pPr>
      <w:r w:rsidRPr="00124822">
        <w:rPr>
          <w:color w:val="000000"/>
        </w:rPr>
        <w:t>Solliciter les associés pour une augmentation de capital ou un apport en compte courant d’associés</w:t>
      </w:r>
      <w:r w:rsidR="00124822">
        <w:rPr>
          <w:color w:val="000000"/>
        </w:rPr>
        <w:t> ;</w:t>
      </w:r>
    </w:p>
    <w:p w14:paraId="54D36BCB" w14:textId="78C73BCA" w:rsidR="00406C4A" w:rsidRDefault="00406C4A" w:rsidP="00124822">
      <w:pPr>
        <w:pStyle w:val="Paragraphedeliste"/>
        <w:numPr>
          <w:ilvl w:val="0"/>
          <w:numId w:val="21"/>
        </w:numPr>
        <w:shd w:val="clear" w:color="auto" w:fill="FFFFFF"/>
        <w:rPr>
          <w:color w:val="000000"/>
        </w:rPr>
      </w:pPr>
      <w:r w:rsidRPr="00124822">
        <w:rPr>
          <w:color w:val="000000"/>
        </w:rPr>
        <w:t>Favoriser la mise en réserve des bénéfices.</w:t>
      </w:r>
    </w:p>
    <w:p w14:paraId="0E4DBDCE" w14:textId="77777777" w:rsidR="00124822" w:rsidRPr="00124822" w:rsidRDefault="00124822" w:rsidP="00124822">
      <w:pPr>
        <w:pStyle w:val="Paragraphedeliste"/>
        <w:shd w:val="clear" w:color="auto" w:fill="FFFFFF"/>
        <w:rPr>
          <w:color w:val="000000"/>
        </w:rPr>
      </w:pPr>
    </w:p>
    <w:p w14:paraId="4DDB2B7A" w14:textId="3777B57B" w:rsidR="00406C4A" w:rsidRDefault="00406C4A" w:rsidP="00594337">
      <w:pPr>
        <w:pStyle w:val="Titre3"/>
      </w:pPr>
      <w:r>
        <w:t>Agir sur la trésorerie nette</w:t>
      </w:r>
    </w:p>
    <w:p w14:paraId="6C1FD444" w14:textId="5642201A" w:rsidR="00406C4A" w:rsidRPr="00124822" w:rsidRDefault="00406C4A" w:rsidP="00124822">
      <w:pPr>
        <w:pStyle w:val="Paragraphedeliste"/>
        <w:numPr>
          <w:ilvl w:val="0"/>
          <w:numId w:val="24"/>
        </w:numPr>
        <w:shd w:val="clear" w:color="auto" w:fill="FFFFFF"/>
        <w:rPr>
          <w:color w:val="000000"/>
        </w:rPr>
      </w:pPr>
      <w:r w:rsidRPr="00124822">
        <w:rPr>
          <w:color w:val="000000"/>
        </w:rPr>
        <w:t>Céder des valeurs mobilières de placement (VMP) pour réduire l’éventuel découvert bancaire ;</w:t>
      </w:r>
    </w:p>
    <w:p w14:paraId="6F18F542" w14:textId="2EA5A237" w:rsidR="00406C4A" w:rsidRPr="00124822" w:rsidRDefault="00406C4A" w:rsidP="00406C4A">
      <w:pPr>
        <w:pStyle w:val="Paragraphedeliste"/>
        <w:numPr>
          <w:ilvl w:val="0"/>
          <w:numId w:val="24"/>
        </w:numPr>
        <w:shd w:val="clear" w:color="auto" w:fill="FFFFFF"/>
        <w:rPr>
          <w:color w:val="000000"/>
        </w:rPr>
      </w:pPr>
      <w:r w:rsidRPr="00124822">
        <w:rPr>
          <w:color w:val="000000"/>
        </w:rPr>
        <w:t>Négocier les conditions d’accès aux découverts bancaires.</w:t>
      </w:r>
    </w:p>
    <w:p w14:paraId="75CCC923" w14:textId="234CE1DD" w:rsidR="00406C4A" w:rsidRPr="00406C4A" w:rsidRDefault="00406C4A" w:rsidP="00124822">
      <w:pPr>
        <w:autoSpaceDE w:val="0"/>
        <w:autoSpaceDN w:val="0"/>
        <w:adjustRightInd w:val="0"/>
        <w:rPr>
          <w:noProof/>
        </w:rPr>
      </w:pPr>
      <w:r>
        <w:rPr>
          <w:noProof/>
        </w:rPr>
        <w:t>Si les encaissement</w:t>
      </w:r>
      <w:r w:rsidR="00594337">
        <w:rPr>
          <w:noProof/>
        </w:rPr>
        <w:t>s</w:t>
      </w:r>
      <w:r>
        <w:rPr>
          <w:noProof/>
        </w:rPr>
        <w:t xml:space="preserve"> sont supérieurs aux décaissements, l’entreprise dispose d’une trésorerie excédentaire avec lesquelles elle peut effectuer des placements.</w:t>
      </w:r>
    </w:p>
    <w:sectPr w:rsidR="00406C4A" w:rsidRPr="00406C4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95421" w14:textId="77777777" w:rsidR="00D334A6" w:rsidRDefault="00D334A6" w:rsidP="00A715E6">
      <w:r>
        <w:separator/>
      </w:r>
    </w:p>
  </w:endnote>
  <w:endnote w:type="continuationSeparator" w:id="0">
    <w:p w14:paraId="6C939B6B" w14:textId="77777777" w:rsidR="00D334A6" w:rsidRDefault="00D334A6" w:rsidP="00A71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wyn New Rounded Lt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08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7F6EE" w14:textId="77777777" w:rsidR="006F664C" w:rsidRDefault="006F664C" w:rsidP="00A715E6">
    <w:pPr>
      <w:pStyle w:val="Pieddepage"/>
    </w:pPr>
    <w:r>
      <w:t>© Delagrave</w:t>
    </w:r>
  </w:p>
  <w:p w14:paraId="1228EF6A" w14:textId="77777777" w:rsidR="006F664C" w:rsidRDefault="006F664C" w:rsidP="00A715E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4F104" w14:textId="77777777" w:rsidR="00D334A6" w:rsidRDefault="00D334A6" w:rsidP="00A715E6">
      <w:r>
        <w:separator/>
      </w:r>
    </w:p>
  </w:footnote>
  <w:footnote w:type="continuationSeparator" w:id="0">
    <w:p w14:paraId="47E9F6F4" w14:textId="77777777" w:rsidR="00D334A6" w:rsidRDefault="00D334A6" w:rsidP="00A71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43E9A"/>
    <w:multiLevelType w:val="hybridMultilevel"/>
    <w:tmpl w:val="9280B3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E0561"/>
    <w:multiLevelType w:val="hybridMultilevel"/>
    <w:tmpl w:val="558A1862"/>
    <w:lvl w:ilvl="0" w:tplc="F0FA5A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73621"/>
    <w:multiLevelType w:val="hybridMultilevel"/>
    <w:tmpl w:val="B49C6F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D6B55"/>
    <w:multiLevelType w:val="hybridMultilevel"/>
    <w:tmpl w:val="A28A11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48B3BC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B6249"/>
    <w:multiLevelType w:val="hybridMultilevel"/>
    <w:tmpl w:val="9ADA0F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F68E0"/>
    <w:multiLevelType w:val="hybridMultilevel"/>
    <w:tmpl w:val="08F04902"/>
    <w:lvl w:ilvl="0" w:tplc="34109838">
      <w:start w:val="1"/>
      <w:numFmt w:val="decimal"/>
      <w:pStyle w:val="Titre2"/>
      <w:lvlText w:val="%1."/>
      <w:lvlJc w:val="left"/>
      <w:pPr>
        <w:ind w:left="360" w:hanging="360"/>
      </w:pPr>
    </w:lvl>
    <w:lvl w:ilvl="1" w:tplc="3846233E">
      <w:start w:val="1"/>
      <w:numFmt w:val="lowerLetter"/>
      <w:pStyle w:val="Titre3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751940"/>
    <w:multiLevelType w:val="hybridMultilevel"/>
    <w:tmpl w:val="B36E35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4188F"/>
    <w:multiLevelType w:val="hybridMultilevel"/>
    <w:tmpl w:val="A80A2F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63331"/>
    <w:multiLevelType w:val="hybridMultilevel"/>
    <w:tmpl w:val="3FE0F3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D558BB"/>
    <w:multiLevelType w:val="hybridMultilevel"/>
    <w:tmpl w:val="A3C41414"/>
    <w:lvl w:ilvl="0" w:tplc="1AC075F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67B02"/>
    <w:multiLevelType w:val="hybridMultilevel"/>
    <w:tmpl w:val="82E89E0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E5729F"/>
    <w:multiLevelType w:val="hybridMultilevel"/>
    <w:tmpl w:val="132020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C1C9E"/>
    <w:multiLevelType w:val="hybridMultilevel"/>
    <w:tmpl w:val="1B62D4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3A603D"/>
    <w:multiLevelType w:val="hybridMultilevel"/>
    <w:tmpl w:val="C44C22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E52C87"/>
    <w:multiLevelType w:val="hybridMultilevel"/>
    <w:tmpl w:val="4E92AB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3A36FB"/>
    <w:multiLevelType w:val="hybridMultilevel"/>
    <w:tmpl w:val="43A203E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7614EE"/>
    <w:multiLevelType w:val="hybridMultilevel"/>
    <w:tmpl w:val="49406A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122957"/>
    <w:multiLevelType w:val="hybridMultilevel"/>
    <w:tmpl w:val="352417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DF3096"/>
    <w:multiLevelType w:val="hybridMultilevel"/>
    <w:tmpl w:val="DD965962"/>
    <w:lvl w:ilvl="0" w:tplc="2294E4D2">
      <w:start w:val="1"/>
      <w:numFmt w:val="upperRoman"/>
      <w:lvlText w:val="%1."/>
      <w:lvlJc w:val="left"/>
      <w:pPr>
        <w:ind w:left="1080" w:hanging="72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F94DBF"/>
    <w:multiLevelType w:val="hybridMultilevel"/>
    <w:tmpl w:val="869A519C"/>
    <w:lvl w:ilvl="0" w:tplc="7D2217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CE1D46"/>
    <w:multiLevelType w:val="hybridMultilevel"/>
    <w:tmpl w:val="659ECE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6F29B6"/>
    <w:multiLevelType w:val="hybridMultilevel"/>
    <w:tmpl w:val="AE8CE3C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5D8350F"/>
    <w:multiLevelType w:val="hybridMultilevel"/>
    <w:tmpl w:val="9DEE4B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4"/>
  </w:num>
  <w:num w:numId="6">
    <w:abstractNumId w:val="15"/>
  </w:num>
  <w:num w:numId="7">
    <w:abstractNumId w:val="21"/>
  </w:num>
  <w:num w:numId="8">
    <w:abstractNumId w:val="5"/>
  </w:num>
  <w:num w:numId="9">
    <w:abstractNumId w:val="7"/>
  </w:num>
  <w:num w:numId="10">
    <w:abstractNumId w:val="10"/>
  </w:num>
  <w:num w:numId="11">
    <w:abstractNumId w:val="6"/>
  </w:num>
  <w:num w:numId="12">
    <w:abstractNumId w:val="2"/>
  </w:num>
  <w:num w:numId="13">
    <w:abstractNumId w:val="20"/>
  </w:num>
  <w:num w:numId="14">
    <w:abstractNumId w:val="12"/>
  </w:num>
  <w:num w:numId="15">
    <w:abstractNumId w:val="3"/>
  </w:num>
  <w:num w:numId="16">
    <w:abstractNumId w:val="22"/>
  </w:num>
  <w:num w:numId="17">
    <w:abstractNumId w:val="19"/>
  </w:num>
  <w:num w:numId="18">
    <w:abstractNumId w:val="17"/>
  </w:num>
  <w:num w:numId="19">
    <w:abstractNumId w:val="4"/>
  </w:num>
  <w:num w:numId="20">
    <w:abstractNumId w:val="1"/>
  </w:num>
  <w:num w:numId="21">
    <w:abstractNumId w:val="8"/>
  </w:num>
  <w:num w:numId="22">
    <w:abstractNumId w:val="16"/>
  </w:num>
  <w:num w:numId="23">
    <w:abstractNumId w:val="9"/>
  </w:num>
  <w:num w:numId="2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DE2"/>
    <w:rsid w:val="000121C8"/>
    <w:rsid w:val="00051F5C"/>
    <w:rsid w:val="0008208B"/>
    <w:rsid w:val="00102E1C"/>
    <w:rsid w:val="00124822"/>
    <w:rsid w:val="00136335"/>
    <w:rsid w:val="001570C1"/>
    <w:rsid w:val="001573AC"/>
    <w:rsid w:val="00192664"/>
    <w:rsid w:val="001B4D1C"/>
    <w:rsid w:val="001B5DE2"/>
    <w:rsid w:val="001E63E0"/>
    <w:rsid w:val="001F236C"/>
    <w:rsid w:val="0020325A"/>
    <w:rsid w:val="00206267"/>
    <w:rsid w:val="002B5FAD"/>
    <w:rsid w:val="003521D7"/>
    <w:rsid w:val="003525DC"/>
    <w:rsid w:val="00356543"/>
    <w:rsid w:val="003A6F4D"/>
    <w:rsid w:val="003A7F1A"/>
    <w:rsid w:val="003B7549"/>
    <w:rsid w:val="00404A02"/>
    <w:rsid w:val="00406C4A"/>
    <w:rsid w:val="0047131D"/>
    <w:rsid w:val="00471A56"/>
    <w:rsid w:val="004A2233"/>
    <w:rsid w:val="004C33E9"/>
    <w:rsid w:val="00525C0E"/>
    <w:rsid w:val="00553262"/>
    <w:rsid w:val="0056408A"/>
    <w:rsid w:val="00594337"/>
    <w:rsid w:val="005D1398"/>
    <w:rsid w:val="00655693"/>
    <w:rsid w:val="00681F78"/>
    <w:rsid w:val="006A20A6"/>
    <w:rsid w:val="006B223C"/>
    <w:rsid w:val="006C3752"/>
    <w:rsid w:val="006F664C"/>
    <w:rsid w:val="00725B6F"/>
    <w:rsid w:val="00742874"/>
    <w:rsid w:val="00880A2E"/>
    <w:rsid w:val="008A0A64"/>
    <w:rsid w:val="008D3203"/>
    <w:rsid w:val="008D65F8"/>
    <w:rsid w:val="00916B25"/>
    <w:rsid w:val="009517EE"/>
    <w:rsid w:val="00986690"/>
    <w:rsid w:val="009A5D11"/>
    <w:rsid w:val="009A7EAA"/>
    <w:rsid w:val="00A11BE1"/>
    <w:rsid w:val="00A12245"/>
    <w:rsid w:val="00A12BB3"/>
    <w:rsid w:val="00A24130"/>
    <w:rsid w:val="00A6547F"/>
    <w:rsid w:val="00A715E6"/>
    <w:rsid w:val="00A742CC"/>
    <w:rsid w:val="00AF13E7"/>
    <w:rsid w:val="00B77771"/>
    <w:rsid w:val="00B94FF6"/>
    <w:rsid w:val="00BE03ED"/>
    <w:rsid w:val="00BF7364"/>
    <w:rsid w:val="00C04123"/>
    <w:rsid w:val="00C511AB"/>
    <w:rsid w:val="00C73FC0"/>
    <w:rsid w:val="00CA5B74"/>
    <w:rsid w:val="00CB2DB8"/>
    <w:rsid w:val="00CB7E6C"/>
    <w:rsid w:val="00CC3125"/>
    <w:rsid w:val="00D0388E"/>
    <w:rsid w:val="00D334A6"/>
    <w:rsid w:val="00D71156"/>
    <w:rsid w:val="00DF015E"/>
    <w:rsid w:val="00E213FA"/>
    <w:rsid w:val="00E2317E"/>
    <w:rsid w:val="00E31277"/>
    <w:rsid w:val="00E71C06"/>
    <w:rsid w:val="00E72EB7"/>
    <w:rsid w:val="00F10F58"/>
    <w:rsid w:val="00F35C1F"/>
    <w:rsid w:val="00F75BD1"/>
    <w:rsid w:val="00FD177E"/>
    <w:rsid w:val="00FF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16D54424"/>
  <w15:docId w15:val="{8043AF55-0C98-46AA-BDCD-EB242196F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15E6"/>
    <w:pPr>
      <w:spacing w:after="200" w:line="276" w:lineRule="auto"/>
      <w:jc w:val="both"/>
    </w:pPr>
    <w:rPr>
      <w:rFonts w:asciiTheme="minorHAnsi" w:hAnsiTheme="minorHAnsi" w:cstheme="minorHAns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E72EB7"/>
    <w:pPr>
      <w:spacing w:before="240"/>
      <w:outlineLvl w:val="0"/>
    </w:pPr>
    <w:rPr>
      <w:rFonts w:ascii="Alwyn New Rounded Lt" w:hAnsi="Alwyn New Rounded Lt"/>
      <w:b/>
      <w:color w:val="000099"/>
      <w:sz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72EB7"/>
    <w:pPr>
      <w:numPr>
        <w:numId w:val="1"/>
      </w:numPr>
      <w:outlineLvl w:val="1"/>
    </w:pPr>
    <w:rPr>
      <w:rFonts w:ascii="Alwyn New Rounded Lt" w:hAnsi="Alwyn New Rounded Lt"/>
      <w:color w:val="006600"/>
      <w:sz w:val="32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E72EB7"/>
    <w:pPr>
      <w:numPr>
        <w:ilvl w:val="1"/>
      </w:numPr>
      <w:outlineLvl w:val="2"/>
    </w:pPr>
    <w:rPr>
      <w:color w:val="943634" w:themeColor="accent2" w:themeShade="BF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8669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72EB7"/>
    <w:rPr>
      <w:rFonts w:ascii="Alwyn New Rounded Lt" w:hAnsi="Alwyn New Rounded Lt"/>
      <w:b/>
      <w:color w:val="000099"/>
      <w:sz w:val="40"/>
      <w:szCs w:val="22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E72EB7"/>
    <w:rPr>
      <w:rFonts w:ascii="Alwyn New Rounded Lt" w:hAnsi="Alwyn New Rounded Lt" w:cstheme="minorHAnsi"/>
      <w:color w:val="006600"/>
      <w:sz w:val="32"/>
      <w:szCs w:val="22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E72EB7"/>
    <w:rPr>
      <w:rFonts w:ascii="Alwyn New Rounded Lt" w:hAnsi="Alwyn New Rounded Lt" w:cstheme="minorHAnsi"/>
      <w:color w:val="943634" w:themeColor="accent2" w:themeShade="BF"/>
      <w:sz w:val="32"/>
      <w:szCs w:val="2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6F6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664C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F6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664C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6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664C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A715E6"/>
    <w:pPr>
      <w:ind w:left="720"/>
      <w:contextualSpacing/>
    </w:pPr>
    <w:rPr>
      <w:rFonts w:eastAsiaTheme="minorHAnsi" w:cstheme="minorBidi"/>
    </w:rPr>
  </w:style>
  <w:style w:type="paragraph" w:customStyle="1" w:styleId="07Courstitreniveau2">
    <w:name w:val="07_Cours_titre_niveau_2"/>
    <w:basedOn w:val="Normal"/>
    <w:uiPriority w:val="99"/>
    <w:rsid w:val="003A6F4D"/>
    <w:pPr>
      <w:widowControl w:val="0"/>
      <w:spacing w:before="240" w:after="120" w:line="240" w:lineRule="auto"/>
      <w:ind w:left="720" w:hanging="360"/>
      <w:jc w:val="left"/>
    </w:pPr>
    <w:rPr>
      <w:rFonts w:ascii="Arial" w:eastAsia="Times New Roman" w:hAnsi="Arial" w:cs="Times New Roman"/>
      <w:b/>
      <w:bCs/>
      <w:sz w:val="26"/>
      <w:szCs w:val="24"/>
      <w:lang w:eastAsia="fr-FR"/>
    </w:rPr>
  </w:style>
  <w:style w:type="table" w:styleId="Grilledutableau">
    <w:name w:val="Table Grid"/>
    <w:basedOn w:val="TableauNormal"/>
    <w:uiPriority w:val="59"/>
    <w:rsid w:val="003A6F4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ansinterligne">
    <w:name w:val="No Spacing"/>
    <w:uiPriority w:val="1"/>
    <w:qFormat/>
    <w:rsid w:val="003521D7"/>
    <w:pPr>
      <w:jc w:val="both"/>
    </w:pPr>
    <w:rPr>
      <w:rFonts w:asciiTheme="minorHAnsi" w:hAnsiTheme="minorHAnsi" w:cstheme="minorHAnsi"/>
      <w:sz w:val="22"/>
      <w:szCs w:val="22"/>
      <w:lang w:eastAsia="en-US"/>
    </w:rPr>
  </w:style>
  <w:style w:type="character" w:customStyle="1" w:styleId="Titre4Car">
    <w:name w:val="Titre 4 Car"/>
    <w:basedOn w:val="Policepardfaut"/>
    <w:link w:val="Titre4"/>
    <w:uiPriority w:val="9"/>
    <w:rsid w:val="00986690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lev">
    <w:name w:val="Strong"/>
    <w:qFormat/>
    <w:rsid w:val="009517EE"/>
    <w:rPr>
      <w:b/>
      <w:bCs/>
    </w:rPr>
  </w:style>
  <w:style w:type="paragraph" w:customStyle="1" w:styleId="Contenudetableau">
    <w:name w:val="Contenu de tableau"/>
    <w:basedOn w:val="Normal"/>
    <w:rsid w:val="009517EE"/>
    <w:pPr>
      <w:suppressLineNumbers/>
      <w:suppressAutoHyphens/>
      <w:spacing w:after="0" w:line="240" w:lineRule="auto"/>
      <w:jc w:val="left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5D1398"/>
    <w:pPr>
      <w:jc w:val="left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e24kjd">
    <w:name w:val="e24kjd"/>
    <w:basedOn w:val="Policepardfaut"/>
    <w:rsid w:val="009A7EAA"/>
  </w:style>
  <w:style w:type="character" w:styleId="Marquedecommentaire">
    <w:name w:val="annotation reference"/>
    <w:basedOn w:val="Policepardfaut"/>
    <w:uiPriority w:val="99"/>
    <w:semiHidden/>
    <w:unhideWhenUsed/>
    <w:rsid w:val="009A7EA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A7EA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A7EAA"/>
    <w:rPr>
      <w:rFonts w:asciiTheme="minorHAnsi" w:hAnsiTheme="minorHAnsi" w:cstheme="minorHAnsi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A7EA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A7EAA"/>
    <w:rPr>
      <w:rFonts w:asciiTheme="minorHAnsi" w:hAnsiTheme="minorHAnsi" w:cstheme="minorHAnsi"/>
      <w:b/>
      <w:bCs/>
      <w:lang w:eastAsia="en-US"/>
    </w:rPr>
  </w:style>
  <w:style w:type="paragraph" w:customStyle="1" w:styleId="Txtcourant">
    <w:name w:val="Txt_courant"/>
    <w:basedOn w:val="Normal"/>
    <w:uiPriority w:val="99"/>
    <w:rsid w:val="001E63E0"/>
    <w:pPr>
      <w:widowControl w:val="0"/>
      <w:autoSpaceDE w:val="0"/>
      <w:autoSpaceDN w:val="0"/>
      <w:adjustRightInd w:val="0"/>
      <w:spacing w:after="0" w:line="280" w:lineRule="atLeast"/>
      <w:ind w:left="448"/>
      <w:jc w:val="left"/>
    </w:pPr>
    <w:rPr>
      <w:rFonts w:ascii="Arial" w:eastAsia="Times New Roman" w:hAnsi="Arial" w:cs="Arial"/>
      <w:color w:val="000000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749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 Albin Michel</Company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Moulart</dc:creator>
  <cp:lastModifiedBy>anne bonpain</cp:lastModifiedBy>
  <cp:revision>6</cp:revision>
  <dcterms:created xsi:type="dcterms:W3CDTF">2020-04-03T10:55:00Z</dcterms:created>
  <dcterms:modified xsi:type="dcterms:W3CDTF">2020-04-03T14:35:00Z</dcterms:modified>
</cp:coreProperties>
</file>